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СЕЛЬДЕРЕЙ ЧЕРЕШКОВЫЙ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СЕЛЬДЕРЕЙ ЛИСТОВОЙ</w:t>
      </w:r>
    </w:p>
    <w:p>
      <w:pPr>
        <w:pStyle w:val="Обычный"/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6"/>
          <w:szCs w:val="26"/>
          <w:rtl w:val="0"/>
          <w:lang w:val="pt-PT"/>
        </w:rPr>
        <w:t>(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Apium graveolens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L. var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dulce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(Mill.) Pers.,</w:t>
      </w:r>
    </w:p>
    <w:p>
      <w:pPr>
        <w:pStyle w:val="Обычный"/>
        <w:jc w:val="center"/>
        <w:rPr>
          <w:b w:val="1"/>
          <w:bCs w:val="1"/>
          <w:sz w:val="26"/>
          <w:szCs w:val="26"/>
          <w:lang w:val="pt-PT"/>
        </w:rPr>
      </w:pP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Apium graveolens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L. var.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secalinum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Alef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sz w:val="26"/>
          <w:szCs w:val="26"/>
          <w:rtl w:val="0"/>
          <w:lang w:val="pt-PT"/>
        </w:rPr>
        <w:t>)</w:t>
      </w:r>
      <w:r>
        <w:rPr>
          <w:b w:val="1"/>
          <w:bCs w:val="1"/>
          <w:sz w:val="26"/>
          <w:szCs w:val="26"/>
          <w:vertAlign w:val="superscript"/>
          <w:lang w:val="pt-PT"/>
        </w:rPr>
        <w:footnoteReference w:id="1"/>
      </w:r>
    </w:p>
    <w:p>
      <w:pPr>
        <w:pStyle w:val="Обычный"/>
        <w:jc w:val="both"/>
        <w:rPr>
          <w:b w:val="1"/>
          <w:bCs w:val="1"/>
          <w:sz w:val="22"/>
          <w:szCs w:val="22"/>
          <w:lang w:val="pt-PT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b w:val="1"/>
          <w:bCs w:val="1"/>
          <w:sz w:val="10"/>
          <w:szCs w:val="10"/>
        </w:rPr>
      </w:pPr>
      <w:r>
        <w:rPr>
          <w:sz w:val="26"/>
          <w:szCs w:val="26"/>
          <w:rtl w:val="0"/>
        </w:rPr>
        <w:tab/>
        <w:t xml:space="preserve">Данная методика применима ко всем сортам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Apium graveolens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L. var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dulce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(Mill.) Pers.,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Apium graveolens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L. var.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secalinum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Alef</w:t>
      </w:r>
      <w:r>
        <w:rPr>
          <w:sz w:val="26"/>
          <w:szCs w:val="26"/>
          <w:rtl w:val="0"/>
          <w:lang w:val="ru-RU"/>
        </w:rPr>
        <w:t xml:space="preserve">. </w:t>
      </w:r>
      <w:bookmarkStart w:name="_Hlk172909403" w:id="0"/>
      <w:r>
        <w:rPr>
          <w:sz w:val="28"/>
          <w:szCs w:val="28"/>
          <w:rtl w:val="0"/>
          <w:lang w:val="ru-RU"/>
        </w:rPr>
        <w:t xml:space="preserve">При пользовании данной методикой следует также руководствоваться  Приказом Министра сельского хозяйства Республики Казахстан от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2015 </w:t>
      </w:r>
      <w:r>
        <w:rPr>
          <w:sz w:val="28"/>
          <w:szCs w:val="28"/>
          <w:rtl w:val="0"/>
          <w:lang w:val="ru-RU"/>
        </w:rPr>
        <w:t>года №</w:t>
      </w:r>
      <w:r>
        <w:rPr>
          <w:sz w:val="28"/>
          <w:szCs w:val="28"/>
          <w:rtl w:val="0"/>
          <w:lang w:val="ru-RU"/>
        </w:rPr>
        <w:t xml:space="preserve">4-2/602 </w:t>
      </w:r>
      <w:r>
        <w:rPr>
          <w:sz w:val="28"/>
          <w:szCs w:val="28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8"/>
          <w:szCs w:val="28"/>
          <w:rtl w:val="0"/>
          <w:lang w:val="ru-RU"/>
        </w:rPr>
        <w:t xml:space="preserve">. </w:t>
      </w:r>
      <w:bookmarkEnd w:id="0"/>
      <w:r>
        <w:rPr>
          <w:sz w:val="28"/>
          <w:szCs w:val="28"/>
          <w:rtl w:val="0"/>
          <w:lang w:val="ru-RU"/>
        </w:rPr>
        <w:t>Оценка значений количественных признаков дана в Приложении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6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должны соответствовать требованиям ОСТа по посевным качествам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 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этом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Отдельные делянки для наблюдений и измерений могут быть использованы лишь в том случае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похожий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 наблюдения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связанные с измерением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взвешиванием или подсчетом должны быть проведены на </w:t>
      </w:r>
      <w:r>
        <w:rPr>
          <w:sz w:val="26"/>
          <w:szCs w:val="26"/>
          <w:rtl w:val="0"/>
          <w:lang w:val="ru-RU"/>
        </w:rPr>
        <w:t xml:space="preserve">30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30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Анализ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опыляемых сортов как указано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измеряемым признакам коэффициент вариации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должен превышать общеизвестный сорт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Черешки растущих растений не должны быть окучены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Все наблюдения на растении и листе проводят на полностью развитых растениях при уборке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черешок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антоциановая 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14);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черешок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самоотбеливание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20).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 и степени их выраженности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/>
        <w:jc w:val="both"/>
        <w:rPr>
          <w:sz w:val="26"/>
          <w:szCs w:val="26"/>
        </w:rPr>
      </w:pPr>
    </w:p>
    <w:p>
      <w:pPr>
        <w:pStyle w:val="Обычный"/>
        <w:ind w:right="283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639" w:type="dxa"/>
        <w:jc w:val="left"/>
        <w:tblInd w:w="2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835"/>
        <w:gridCol w:w="3260"/>
        <w:gridCol w:w="1276"/>
        <w:gridCol w:w="1701"/>
      </w:tblGrid>
      <w:tr>
        <w:tblPrEx>
          <w:shd w:val="clear" w:color="auto" w:fill="4f81bd"/>
        </w:tblPrEx>
        <w:trPr>
          <w:trHeight w:val="481" w:hRule="atLeast"/>
          <w:tblHeader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№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Индекс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1. 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низкое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высокое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число боковых побегов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вертикальная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вертикальной до полувертикальной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полувертикальная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полувертикальной до горизонтальной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число листьев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интенсивность зеленой окраски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исключая черешки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глянцевитость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пузырчатость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включая 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расстояние между первой и второй парами листочков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 конечного листочка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кончиков края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острые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округлые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плотность краевых надрезов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редкие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частые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расположение долей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 соприкасаются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соприкасаются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перекрываются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15.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антоциановой окраски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18.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рельефность жилок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внутренняя сторона в поперечном сечении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слабоизогнутая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сильноизогнутая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самоотбеливание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21.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несамоотбеливающиеся сорта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зеленой окраски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70" w:hanging="170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8, 9, 10, 16 </w:t>
      </w:r>
      <w:r>
        <w:rPr>
          <w:sz w:val="26"/>
          <w:szCs w:val="26"/>
          <w:u w:val="single"/>
          <w:rtl w:val="0"/>
          <w:lang w:val="ru-RU"/>
        </w:rPr>
        <w:t xml:space="preserve">и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</w:p>
    <w:p>
      <w:pPr>
        <w:pStyle w:val="Основной текст 3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4126864</wp:posOffset>
                </wp:positionH>
                <wp:positionV relativeFrom="line">
                  <wp:posOffset>97789</wp:posOffset>
                </wp:positionV>
                <wp:extent cx="548641" cy="457201"/>
                <wp:effectExtent l="0" t="0" r="0" b="0"/>
                <wp:wrapNone/>
                <wp:docPr id="107374182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1" cy="457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1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325.0pt;margin-top:7.7pt;width:43.2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 coordorigin="0,0" coordsize="21600,21600" path="M 0,0 C 11929,0 21600,9671 21600,21600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4675504</wp:posOffset>
                </wp:positionH>
                <wp:positionV relativeFrom="line">
                  <wp:posOffset>97789</wp:posOffset>
                </wp:positionV>
                <wp:extent cx="548641" cy="457201"/>
                <wp:effectExtent l="0" t="0" r="0" b="0"/>
                <wp:wrapNone/>
                <wp:docPr id="107374182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1" cy="457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1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368.1pt;margin-top:7.7pt;width:43.2pt;height:3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C 11929,0 21600,9671 21600,21600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992"/>
        <w:gridCol w:w="2977"/>
        <w:gridCol w:w="708"/>
      </w:tblGrid>
      <w:tr>
        <w:tblPrEx>
          <w:shd w:val="clear" w:color="auto" w:fill="ced7e7"/>
        </w:tblPrEx>
        <w:trPr>
          <w:trHeight w:val="4245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включая черешок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 (8)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расстояние между первой и второй парами листочков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(9)</w:t>
            </w:r>
          </w:p>
          <w:p>
            <w:pPr>
              <w:pStyle w:val="Обычный"/>
              <w:tabs>
                <w:tab w:val="left" w:pos="1134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1134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размер конечного листочка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(10)</w:t>
            </w:r>
          </w:p>
          <w:p>
            <w:pPr>
              <w:pStyle w:val="Обычный"/>
              <w:tabs>
                <w:tab w:val="left" w:pos="1134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(16)</w:t>
            </w:r>
          </w:p>
          <w:p>
            <w:pPr>
              <w:pStyle w:val="Обычный"/>
              <w:tabs>
                <w:tab w:val="left" w:pos="113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ab/>
              <w:t xml:space="preserve">ширина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(17)</w:t>
            </w:r>
            <w:r>
              <w:rPr>
                <w:sz w:val="26"/>
                <w:szCs w:val="26"/>
                <w:shd w:val="nil" w:color="auto" w:fill="auto"/>
              </w:rPr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      8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bidi w:val="0"/>
              <w:ind w:left="0" w:right="176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88669" cy="2466584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9" cy="24665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10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17</w:t>
            </w:r>
          </w:p>
        </w:tc>
      </w:tr>
    </w:tbl>
    <w:p>
      <w:pPr>
        <w:pStyle w:val="Основной текст 3"/>
        <w:widowControl w:val="0"/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11.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кончиков края</w:t>
      </w:r>
    </w:p>
    <w:tbl>
      <w:tblPr>
        <w:tblW w:w="9774" w:type="dxa"/>
        <w:jc w:val="left"/>
        <w:tblInd w:w="1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0"/>
        <w:gridCol w:w="5214"/>
      </w:tblGrid>
      <w:tr>
        <w:tblPrEx>
          <w:shd w:val="clear" w:color="auto" w:fill="ced7e7"/>
        </w:tblPrEx>
        <w:trPr>
          <w:trHeight w:val="2581" w:hRule="atLeast"/>
        </w:trPr>
        <w:tc>
          <w:tcPr>
            <w:tcW w:type="dxa" w:w="4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14170" cy="1555115"/>
                  <wp:effectExtent l="0" t="0" r="0" b="0"/>
                  <wp:docPr id="107374182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5551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23695" cy="1611631"/>
                  <wp:effectExtent l="0" t="0" r="0" b="0"/>
                  <wp:docPr id="107374182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6116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острые</w:t>
            </w:r>
          </w:p>
        </w:tc>
        <w:tc>
          <w:tcPr>
            <w:tcW w:type="dxa" w:w="5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округлые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1101" w:hanging="1101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12.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плотность краевых надрезов</w:t>
      </w:r>
    </w:p>
    <w:p>
      <w:pPr>
        <w:pStyle w:val="Обычный"/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744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6102" cy="1145123"/>
                  <wp:effectExtent l="0" t="0" r="0" b="0"/>
                  <wp:docPr id="107374183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02" cy="114512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1381" cy="1554999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81" cy="15549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31671" cy="1715072"/>
                  <wp:effectExtent l="0" t="0" r="0" b="0"/>
                  <wp:docPr id="107374183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1" cy="17150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редкие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средние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частые</w:t>
            </w:r>
          </w:p>
        </w:tc>
      </w:tr>
    </w:tbl>
    <w:p>
      <w:pPr>
        <w:pStyle w:val="Обычный"/>
        <w:widowControl w:val="0"/>
        <w:ind w:left="250" w:hanging="250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13.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расположение долей</w:t>
      </w:r>
    </w:p>
    <w:p>
      <w:pPr>
        <w:pStyle w:val="Обычный"/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969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6864" cy="1328156"/>
                  <wp:effectExtent l="0" t="0" r="0" b="0"/>
                  <wp:docPr id="107374183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64" cy="13281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1071" cy="1552977"/>
                  <wp:effectExtent l="0" t="0" r="0" b="0"/>
                  <wp:docPr id="1073741834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71" cy="15529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47521" cy="1858011"/>
                  <wp:effectExtent l="0" t="0" r="0" b="0"/>
                  <wp:docPr id="107374183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1" cy="18580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 соприкасаются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соприкасаются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перекрываются</w:t>
            </w:r>
          </w:p>
        </w:tc>
      </w:tr>
    </w:tbl>
    <w:p>
      <w:pPr>
        <w:pStyle w:val="Обычный"/>
        <w:widowControl w:val="0"/>
        <w:ind w:left="250" w:hanging="250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19. </w:t>
      </w:r>
      <w:r>
        <w:rPr>
          <w:sz w:val="26"/>
          <w:szCs w:val="26"/>
          <w:u w:val="single"/>
          <w:rtl w:val="0"/>
          <w:lang w:val="ru-RU"/>
        </w:rPr>
        <w:t>Черешок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внутренняя сторона в поперечном сечении</w:t>
      </w:r>
    </w:p>
    <w:p>
      <w:pPr>
        <w:pStyle w:val="Обычный"/>
      </w:pPr>
    </w:p>
    <w:tbl>
      <w:tblPr>
        <w:tblW w:w="8505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8"/>
        <w:gridCol w:w="499"/>
        <w:gridCol w:w="2127"/>
        <w:gridCol w:w="425"/>
        <w:gridCol w:w="2976"/>
      </w:tblGrid>
      <w:tr>
        <w:tblPrEx>
          <w:shd w:val="clear" w:color="auto" w:fill="ced7e7"/>
        </w:tblPrEx>
        <w:trPr>
          <w:trHeight w:val="2044" w:hRule="atLeast"/>
        </w:trPr>
        <w:tc>
          <w:tcPr>
            <w:tcW w:type="dxa" w:w="8505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071110" cy="1270636"/>
                  <wp:effectExtent l="0" t="0" r="0" b="0"/>
                  <wp:docPr id="107374183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0" cy="12706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прямая</w:t>
            </w:r>
          </w:p>
        </w:tc>
        <w:tc>
          <w:tcPr>
            <w:tcW w:type="dxa" w:w="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слабоизогнутая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сильноизогнутая</w:t>
            </w:r>
          </w:p>
        </w:tc>
      </w:tr>
    </w:tbl>
    <w:p>
      <w:pPr>
        <w:pStyle w:val="Обычный"/>
        <w:widowControl w:val="0"/>
        <w:ind w:left="675" w:hanging="675"/>
      </w:pPr>
    </w:p>
    <w:p>
      <w:pPr>
        <w:pStyle w:val="Обычный"/>
        <w:tabs>
          <w:tab w:val="left" w:pos="8222"/>
        </w:tabs>
        <w:jc w:val="both"/>
      </w:pPr>
      <w:r>
        <w:rPr>
          <w:sz w:val="24"/>
          <w:szCs w:val="24"/>
        </w:rPr>
      </w:r>
    </w:p>
    <w:sectPr>
      <w:headerReference w:type="default" r:id="rId14"/>
      <w:footerReference w:type="default" r:id="rId15"/>
      <w:pgSz w:w="11900" w:h="16840" w:orient="portrait"/>
      <w:pgMar w:top="1418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3">
    <w:name w:val="Основной текст 3"/>
    <w:next w:val="Основной текст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notes" Target="footnotes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