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9294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                                              </w:t>
      </w:r>
      <w:r>
        <w:rPr>
          <w:sz w:val="24"/>
          <w:szCs w:val="24"/>
          <w:rtl w:val="0"/>
          <w:lang w:val="ru-RU"/>
        </w:rPr>
        <w:t xml:space="preserve">Приложение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к Приказу №</w:t>
      </w:r>
      <w:r>
        <w:rPr>
          <w:sz w:val="24"/>
          <w:szCs w:val="24"/>
          <w:rtl w:val="0"/>
        </w:rPr>
        <w:t xml:space="preserve"> </w:t>
      </w:r>
    </w:p>
    <w:p>
      <w:pPr>
        <w:pStyle w:val="Обычный"/>
        <w:tabs>
          <w:tab w:val="left" w:pos="9294"/>
        </w:tabs>
        <w:jc w:val="right"/>
        <w:rPr>
          <w:sz w:val="24"/>
          <w:szCs w:val="24"/>
        </w:rPr>
      </w:pPr>
    </w:p>
    <w:tbl>
      <w:tblPr>
        <w:tblW w:w="4785" w:type="dxa"/>
        <w:jc w:val="right"/>
        <w:tblInd w:w="53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</w:tblGrid>
      <w:tr>
        <w:tblPrEx>
          <w:shd w:val="clear" w:color="auto" w:fill="ced7e7"/>
        </w:tblPrEx>
        <w:trPr>
          <w:trHeight w:val="2690" w:hRule="atLeast"/>
        </w:trPr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УТВЕРЖДАЮ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Председатель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Республиканского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Государственного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учреждения «Государственная комиссия по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сортоиспытанию сельскохозяйственных культур»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____________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Ажгалиев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____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______________ 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Обычный"/>
        <w:widowControl w:val="0"/>
        <w:tabs>
          <w:tab w:val="left" w:pos="9294"/>
        </w:tabs>
        <w:ind w:left="5211" w:hanging="5211"/>
        <w:jc w:val="right"/>
        <w:rPr>
          <w:sz w:val="24"/>
          <w:szCs w:val="24"/>
        </w:rPr>
      </w:pPr>
    </w:p>
    <w:p>
      <w:pPr>
        <w:pStyle w:val="Заголовок 1"/>
      </w:pPr>
    </w:p>
    <w:p>
      <w:pPr>
        <w:pStyle w:val="Заголовок 1"/>
      </w:pPr>
    </w:p>
    <w:p>
      <w:pPr>
        <w:pStyle w:val="Заголовок 1"/>
      </w:pPr>
      <w:r>
        <w:rPr>
          <w:rFonts w:cs="Arial Unicode MS" w:eastAsia="Arial Unicode MS" w:hint="default"/>
          <w:rtl w:val="0"/>
          <w:lang w:val="ru-RU"/>
        </w:rPr>
        <w:t>МЕТОДИКА ПРОВЕДЕНИЯ ИСПЫТАНИЙ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НА ОТЛИЧИМОСТЬ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ОДНОРОДНОСТЬ И СТАБИЛЬНОСТЬ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СВЕКЛА СТОЛОВАЯ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(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Beta vulgaris</w:t>
      </w:r>
      <w:r>
        <w:rPr>
          <w:b w:val="1"/>
          <w:bCs w:val="1"/>
          <w:sz w:val="26"/>
          <w:szCs w:val="26"/>
          <w:rtl w:val="0"/>
          <w:lang w:val="ru-RU"/>
        </w:rPr>
        <w:t xml:space="preserve"> L. ssp.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vulgaris</w:t>
      </w:r>
      <w:r>
        <w:rPr>
          <w:b w:val="1"/>
          <w:bCs w:val="1"/>
          <w:sz w:val="26"/>
          <w:szCs w:val="26"/>
          <w:rtl w:val="0"/>
          <w:lang w:val="ru-RU"/>
        </w:rPr>
        <w:t xml:space="preserve"> var.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conditiva</w:t>
      </w:r>
      <w:r>
        <w:rPr>
          <w:b w:val="1"/>
          <w:bCs w:val="1"/>
          <w:sz w:val="26"/>
          <w:szCs w:val="26"/>
          <w:rtl w:val="0"/>
          <w:lang w:val="ru-RU"/>
        </w:rPr>
        <w:t xml:space="preserve"> Alef.)</w:t>
      </w:r>
      <w:r>
        <w:rPr>
          <w:vertAlign w:val="superscript"/>
        </w:rPr>
        <w:footnoteReference w:id="1"/>
      </w: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Общие рекомендации</w:t>
      </w:r>
    </w:p>
    <w:p>
      <w:pPr>
        <w:pStyle w:val="Обычный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Данная методика применима ко всем сортам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Beta vulgaris</w:t>
      </w:r>
      <w:r>
        <w:rPr>
          <w:b w:val="1"/>
          <w:bCs w:val="1"/>
          <w:sz w:val="26"/>
          <w:szCs w:val="26"/>
          <w:rtl w:val="0"/>
          <w:lang w:val="ru-RU"/>
        </w:rPr>
        <w:t xml:space="preserve"> L. ssp.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vulgaris</w:t>
      </w:r>
      <w:r>
        <w:rPr>
          <w:b w:val="1"/>
          <w:bCs w:val="1"/>
          <w:sz w:val="26"/>
          <w:szCs w:val="26"/>
          <w:rtl w:val="0"/>
          <w:lang w:val="ru-RU"/>
        </w:rPr>
        <w:t xml:space="preserve"> var.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conditiva</w:t>
      </w:r>
      <w:r>
        <w:rPr>
          <w:b w:val="1"/>
          <w:bCs w:val="1"/>
          <w:sz w:val="26"/>
          <w:szCs w:val="26"/>
          <w:rtl w:val="0"/>
          <w:lang w:val="ru-RU"/>
        </w:rPr>
        <w:t xml:space="preserve"> Alef.</w:t>
      </w:r>
      <w:r>
        <w:rPr>
          <w:sz w:val="26"/>
          <w:szCs w:val="26"/>
          <w:rtl w:val="0"/>
          <w:lang w:val="ru-RU"/>
        </w:rPr>
        <w:t xml:space="preserve"> </w:t>
      </w:r>
    </w:p>
    <w:p>
      <w:pPr>
        <w:pStyle w:val="Обычный"/>
        <w:ind w:firstLine="567"/>
        <w:jc w:val="both"/>
        <w:rPr>
          <w:sz w:val="16"/>
          <w:szCs w:val="16"/>
        </w:rPr>
      </w:pPr>
      <w:r>
        <w:rPr>
          <w:sz w:val="26"/>
          <w:szCs w:val="26"/>
          <w:rtl w:val="0"/>
          <w:lang w:val="ru-RU"/>
        </w:rPr>
        <w:t xml:space="preserve">При пользовании данной методикой следует также руководствоваться Приказом Министра сельского хозяйства Республики Казахстан от </w:t>
      </w:r>
      <w:r>
        <w:rPr>
          <w:sz w:val="26"/>
          <w:szCs w:val="26"/>
          <w:rtl w:val="0"/>
          <w:lang w:val="ru-RU"/>
        </w:rPr>
        <w:t xml:space="preserve">2 </w:t>
      </w:r>
      <w:r>
        <w:rPr>
          <w:sz w:val="26"/>
          <w:szCs w:val="26"/>
          <w:rtl w:val="0"/>
          <w:lang w:val="ru-RU"/>
        </w:rPr>
        <w:t xml:space="preserve">июля </w:t>
      </w:r>
      <w:r>
        <w:rPr>
          <w:sz w:val="26"/>
          <w:szCs w:val="26"/>
          <w:rtl w:val="0"/>
          <w:lang w:val="ru-RU"/>
        </w:rPr>
        <w:t xml:space="preserve">2015 </w:t>
      </w:r>
      <w:r>
        <w:rPr>
          <w:sz w:val="26"/>
          <w:szCs w:val="26"/>
          <w:rtl w:val="0"/>
          <w:lang w:val="ru-RU"/>
        </w:rPr>
        <w:t>года</w:t>
      </w:r>
      <w:r>
        <w:rPr>
          <w:sz w:val="26"/>
          <w:szCs w:val="26"/>
          <w:rtl w:val="0"/>
        </w:rPr>
        <w:t xml:space="preserve">            </w:t>
      </w:r>
      <w:r>
        <w:rPr>
          <w:sz w:val="26"/>
          <w:szCs w:val="26"/>
          <w:rtl w:val="0"/>
          <w:lang w:val="ru-RU"/>
        </w:rPr>
        <w:t xml:space="preserve"> №</w:t>
      </w:r>
      <w:r>
        <w:rPr>
          <w:sz w:val="26"/>
          <w:szCs w:val="26"/>
          <w:rtl w:val="0"/>
          <w:lang w:val="ru-RU"/>
        </w:rPr>
        <w:t xml:space="preserve">4-2/602 </w:t>
      </w:r>
      <w:r>
        <w:rPr>
          <w:sz w:val="26"/>
          <w:szCs w:val="26"/>
          <w:rtl w:val="0"/>
          <w:lang w:val="ru-RU"/>
        </w:rPr>
        <w:t>«Об утверждении Правил проведения сортоиспытания сельскохозяйственных растений»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Оценка значений количественных признаков дана в Приложении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Требуемый материал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 xml:space="preserve">На весь цикл испытания необходим исходный образец семян массой </w:t>
      </w:r>
      <w:r>
        <w:rPr>
          <w:sz w:val="26"/>
          <w:szCs w:val="26"/>
          <w:rtl w:val="0"/>
          <w:lang w:val="ru-RU"/>
        </w:rPr>
        <w:t xml:space="preserve">200 </w:t>
      </w:r>
      <w:r>
        <w:rPr>
          <w:sz w:val="26"/>
          <w:szCs w:val="26"/>
          <w:rtl w:val="0"/>
          <w:lang w:val="ru-RU"/>
        </w:rPr>
        <w:t xml:space="preserve">г или </w:t>
      </w:r>
      <w:r>
        <w:rPr>
          <w:sz w:val="26"/>
          <w:szCs w:val="26"/>
          <w:rtl w:val="0"/>
          <w:lang w:val="ru-RU"/>
        </w:rPr>
        <w:t xml:space="preserve">9000 </w:t>
      </w:r>
      <w:r>
        <w:rPr>
          <w:sz w:val="26"/>
          <w:szCs w:val="26"/>
          <w:rtl w:val="0"/>
          <w:lang w:val="ru-RU"/>
        </w:rPr>
        <w:t>штук соплодий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Семена должны соответствовать по посевным качествам требованиям ГОСТа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Семена не должны быть обработаны ядохимикатами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на то нет разрешения или требования Госкомиссии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обработка имела место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необходимо дать её подробное описание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Заявитель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высылающий семена из другой страны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должен полностью соблюдать все таможенные правила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jc w:val="both"/>
        <w:rPr>
          <w:sz w:val="16"/>
          <w:szCs w:val="1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Проведение испытаний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Полевые опыты проводят в одном месте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условиях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обеспечивающих нормальное развитие культуры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течение двух вегетационных периодов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в данном месте не могут быть определены какие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либо важные признаки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он может быть испытан в дополнительном месте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При необходимости испытание продолжают на третий год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Размер делянок должен быть таким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чтобы при отборе растений или их частей для измерений не наносилось ущерба наблюдениям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продолжают до конца вегетационного периода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 xml:space="preserve">Как минимум каждое испытание должно включать </w:t>
      </w:r>
      <w:r>
        <w:rPr>
          <w:sz w:val="26"/>
          <w:szCs w:val="26"/>
          <w:rtl w:val="0"/>
          <w:lang w:val="ru-RU"/>
        </w:rPr>
        <w:t xml:space="preserve">200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разделенных на два повторения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Отдельные делянки для наблюдений и измерений могут быть использованы лишь в том случае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они находятся в сходных климатических условиях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Оцениваемый и похожий на него сорта высевают на смежных делянках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опыте размещают и делянки эталонных сортов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>Для специальных целей могут быть назначены дополнительные испытания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sz w:val="16"/>
          <w:szCs w:val="1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Методы и наблюдения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Если не указано иное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все наблюдения на отдельных растениях проводят на </w:t>
      </w:r>
      <w:r>
        <w:rPr>
          <w:sz w:val="26"/>
          <w:szCs w:val="26"/>
          <w:rtl w:val="0"/>
          <w:lang w:val="ru-RU"/>
        </w:rPr>
        <w:t xml:space="preserve">40 </w:t>
      </w:r>
      <w:r>
        <w:rPr>
          <w:sz w:val="26"/>
          <w:szCs w:val="26"/>
          <w:rtl w:val="0"/>
          <w:lang w:val="ru-RU"/>
        </w:rPr>
        <w:t>растениях или частях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взятых от каждого из </w:t>
      </w:r>
      <w:r>
        <w:rPr>
          <w:sz w:val="26"/>
          <w:szCs w:val="26"/>
          <w:rtl w:val="0"/>
          <w:lang w:val="ru-RU"/>
        </w:rPr>
        <w:t xml:space="preserve">40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Любые другие наблюдения проводят на всех растениях испытания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Анализ результатов проводят в соответствии с правилами для перекрестно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 xml:space="preserve">опыляемых сортов как указано в </w:t>
      </w: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  <w:lang w:val="ru-RU"/>
        </w:rPr>
        <w:t>Общем введении по испытанию на отличимость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однородность и стабильность и составлению описаний</w:t>
      </w:r>
      <w:r>
        <w:rPr>
          <w:sz w:val="26"/>
          <w:szCs w:val="26"/>
          <w:rtl w:val="0"/>
          <w:lang w:val="ru-RU"/>
        </w:rPr>
        <w:t xml:space="preserve">". </w:t>
      </w:r>
      <w:r>
        <w:rPr>
          <w:sz w:val="26"/>
          <w:szCs w:val="26"/>
          <w:rtl w:val="0"/>
          <w:lang w:val="ru-RU"/>
        </w:rPr>
        <w:t>Однородность сорта определяется относительно фактической однородности общеизвестного сорта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Изменчивость сорта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 xml:space="preserve">кандидата не должна превышать изменчивости общеизвестного сорта в </w:t>
      </w:r>
      <w:r>
        <w:rPr>
          <w:sz w:val="26"/>
          <w:szCs w:val="26"/>
          <w:rtl w:val="0"/>
          <w:lang w:val="ru-RU"/>
        </w:rPr>
        <w:t xml:space="preserve">1,6 </w:t>
      </w:r>
      <w:r>
        <w:rPr>
          <w:sz w:val="26"/>
          <w:szCs w:val="26"/>
          <w:rtl w:val="0"/>
          <w:lang w:val="ru-RU"/>
        </w:rPr>
        <w:t>раза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 xml:space="preserve">Для признаков </w:t>
      </w:r>
      <w:r>
        <w:rPr>
          <w:sz w:val="26"/>
          <w:szCs w:val="26"/>
          <w:rtl w:val="0"/>
          <w:lang w:val="ru-RU"/>
        </w:rPr>
        <w:t>17 (</w:t>
      </w:r>
      <w:r>
        <w:rPr>
          <w:sz w:val="26"/>
          <w:szCs w:val="26"/>
          <w:rtl w:val="0"/>
          <w:lang w:val="ru-RU"/>
        </w:rPr>
        <w:t>Корнеплод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форма продольного сечения</w:t>
      </w:r>
      <w:r>
        <w:rPr>
          <w:sz w:val="26"/>
          <w:szCs w:val="26"/>
          <w:rtl w:val="0"/>
          <w:lang w:val="ru-RU"/>
        </w:rPr>
        <w:t>), 23 (</w:t>
      </w:r>
      <w:r>
        <w:rPr>
          <w:sz w:val="26"/>
          <w:szCs w:val="26"/>
          <w:rtl w:val="0"/>
          <w:lang w:val="ru-RU"/>
        </w:rPr>
        <w:t>Корнеплод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внешняя окраска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и </w:t>
      </w:r>
      <w:r>
        <w:rPr>
          <w:sz w:val="26"/>
          <w:szCs w:val="26"/>
          <w:rtl w:val="0"/>
          <w:lang w:val="ru-RU"/>
        </w:rPr>
        <w:t>26 (</w:t>
      </w:r>
      <w:r>
        <w:rPr>
          <w:sz w:val="26"/>
          <w:szCs w:val="26"/>
          <w:rtl w:val="0"/>
          <w:lang w:val="ru-RU"/>
        </w:rPr>
        <w:t>Корнеплод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выраженность колец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используют популяционный стандарт </w:t>
      </w:r>
      <w:r>
        <w:rPr>
          <w:sz w:val="26"/>
          <w:szCs w:val="26"/>
          <w:rtl w:val="0"/>
          <w:lang w:val="ru-RU"/>
        </w:rPr>
        <w:t xml:space="preserve">2% </w:t>
      </w:r>
      <w:r>
        <w:rPr>
          <w:sz w:val="26"/>
          <w:szCs w:val="26"/>
          <w:rtl w:val="0"/>
          <w:lang w:val="ru-RU"/>
        </w:rPr>
        <w:t xml:space="preserve">при доверительной вероятности </w:t>
      </w:r>
      <w:r>
        <w:rPr>
          <w:sz w:val="26"/>
          <w:szCs w:val="26"/>
          <w:rtl w:val="0"/>
          <w:lang w:val="ru-RU"/>
        </w:rPr>
        <w:t xml:space="preserve">95%. </w:t>
      </w:r>
      <w:r>
        <w:rPr>
          <w:sz w:val="26"/>
          <w:szCs w:val="26"/>
          <w:rtl w:val="0"/>
          <w:lang w:val="ru-RU"/>
        </w:rPr>
        <w:t xml:space="preserve">В образце из </w:t>
      </w:r>
      <w:r>
        <w:rPr>
          <w:sz w:val="26"/>
          <w:szCs w:val="26"/>
          <w:rtl w:val="0"/>
          <w:lang w:val="ru-RU"/>
        </w:rPr>
        <w:t xml:space="preserve">200 </w:t>
      </w:r>
      <w:r>
        <w:rPr>
          <w:sz w:val="26"/>
          <w:szCs w:val="26"/>
          <w:rtl w:val="0"/>
          <w:lang w:val="ru-RU"/>
        </w:rPr>
        <w:t xml:space="preserve">растений максимальное число нетипичных растений не должно превышать </w:t>
      </w:r>
      <w:r>
        <w:rPr>
          <w:sz w:val="26"/>
          <w:szCs w:val="26"/>
          <w:rtl w:val="0"/>
          <w:lang w:val="ru-RU"/>
        </w:rPr>
        <w:t xml:space="preserve">7.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 xml:space="preserve">Для оценки однородности гибридов используют популяционный стандарт </w:t>
      </w:r>
      <w:r>
        <w:rPr>
          <w:sz w:val="26"/>
          <w:szCs w:val="26"/>
          <w:rtl w:val="0"/>
          <w:lang w:val="ru-RU"/>
        </w:rPr>
        <w:t xml:space="preserve">2% </w:t>
      </w:r>
      <w:r>
        <w:rPr>
          <w:sz w:val="26"/>
          <w:szCs w:val="26"/>
          <w:rtl w:val="0"/>
          <w:lang w:val="ru-RU"/>
        </w:rPr>
        <w:t xml:space="preserve">при доверительной вероятности </w:t>
      </w:r>
      <w:r>
        <w:rPr>
          <w:sz w:val="26"/>
          <w:szCs w:val="26"/>
          <w:rtl w:val="0"/>
          <w:lang w:val="ru-RU"/>
        </w:rPr>
        <w:t xml:space="preserve">95%. </w:t>
      </w:r>
      <w:r>
        <w:rPr>
          <w:sz w:val="26"/>
          <w:szCs w:val="26"/>
          <w:rtl w:val="0"/>
          <w:lang w:val="ru-RU"/>
        </w:rPr>
        <w:t xml:space="preserve">В образце из </w:t>
      </w:r>
      <w:r>
        <w:rPr>
          <w:sz w:val="26"/>
          <w:szCs w:val="26"/>
          <w:rtl w:val="0"/>
          <w:lang w:val="ru-RU"/>
        </w:rPr>
        <w:t xml:space="preserve">200 </w:t>
      </w:r>
      <w:r>
        <w:rPr>
          <w:sz w:val="26"/>
          <w:szCs w:val="26"/>
          <w:rtl w:val="0"/>
          <w:lang w:val="ru-RU"/>
        </w:rPr>
        <w:t xml:space="preserve">растений максимальное число нетипичных растений не должно превышать </w:t>
      </w:r>
      <w:r>
        <w:rPr>
          <w:sz w:val="26"/>
          <w:szCs w:val="26"/>
          <w:rtl w:val="0"/>
          <w:lang w:val="ru-RU"/>
        </w:rPr>
        <w:t xml:space="preserve">7. </w:t>
      </w:r>
      <w:r>
        <w:rPr>
          <w:sz w:val="26"/>
          <w:szCs w:val="26"/>
          <w:rtl w:val="0"/>
          <w:lang w:val="ru-RU"/>
        </w:rPr>
        <w:t xml:space="preserve">В дополнение популяционный стандарт </w:t>
      </w:r>
      <w:r>
        <w:rPr>
          <w:sz w:val="26"/>
          <w:szCs w:val="26"/>
          <w:rtl w:val="0"/>
          <w:lang w:val="ru-RU"/>
        </w:rPr>
        <w:t xml:space="preserve">2% </w:t>
      </w:r>
      <w:r>
        <w:rPr>
          <w:sz w:val="26"/>
          <w:szCs w:val="26"/>
          <w:rtl w:val="0"/>
          <w:lang w:val="ru-RU"/>
        </w:rPr>
        <w:t>с той же доверительной вероятностью должен применяться для явно инбредных растений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В случае образца из </w:t>
      </w:r>
      <w:r>
        <w:rPr>
          <w:sz w:val="26"/>
          <w:szCs w:val="26"/>
          <w:rtl w:val="0"/>
          <w:lang w:val="ru-RU"/>
        </w:rPr>
        <w:t xml:space="preserve">200 </w:t>
      </w:r>
      <w:r>
        <w:rPr>
          <w:sz w:val="26"/>
          <w:szCs w:val="26"/>
          <w:rtl w:val="0"/>
          <w:lang w:val="ru-RU"/>
        </w:rPr>
        <w:t>растений дополнительное максимальное число нетипичных растений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являются инбредными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составляет </w:t>
      </w:r>
      <w:r>
        <w:rPr>
          <w:sz w:val="26"/>
          <w:szCs w:val="26"/>
          <w:rtl w:val="0"/>
          <w:lang w:val="ru-RU"/>
        </w:rPr>
        <w:t>7.</w:t>
      </w:r>
    </w:p>
    <w:p>
      <w:pPr>
        <w:pStyle w:val="Обычный"/>
        <w:jc w:val="both"/>
        <w:rPr>
          <w:sz w:val="16"/>
          <w:szCs w:val="1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Группирование сортов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Испытываемые и похожие сорта реферативной коллекции должны быть разбиты на группы для облегчения оценки на отличимость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Для группировки используют такие 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исходя из практического опыта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варьируют или варьируют незначительно в пределах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их варьирование в пределах коллекции распределено равномерно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Рекомендуется использовать следующие признаки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1) </w:t>
      </w:r>
      <w:r>
        <w:rPr>
          <w:sz w:val="26"/>
          <w:szCs w:val="26"/>
          <w:rtl w:val="0"/>
          <w:lang w:val="ru-RU"/>
        </w:rPr>
        <w:t xml:space="preserve">плоидность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1);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2) </w:t>
      </w:r>
      <w:r>
        <w:rPr>
          <w:sz w:val="26"/>
          <w:szCs w:val="26"/>
          <w:rtl w:val="0"/>
          <w:lang w:val="ru-RU"/>
        </w:rPr>
        <w:t>корнеплод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форма продольного сечения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17);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3) </w:t>
      </w:r>
      <w:r>
        <w:rPr>
          <w:sz w:val="26"/>
          <w:szCs w:val="26"/>
          <w:rtl w:val="0"/>
          <w:lang w:val="ru-RU"/>
        </w:rPr>
        <w:t>корнеплод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внешняя окраска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23);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4) </w:t>
      </w:r>
      <w:r>
        <w:rPr>
          <w:sz w:val="26"/>
          <w:szCs w:val="26"/>
          <w:rtl w:val="0"/>
          <w:lang w:val="ru-RU"/>
        </w:rPr>
        <w:t>корнеплод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основная окраска мякоти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24);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5) </w:t>
      </w:r>
      <w:r>
        <w:rPr>
          <w:sz w:val="26"/>
          <w:szCs w:val="26"/>
          <w:rtl w:val="0"/>
        </w:rPr>
        <w:t>склонность к укоронению</w:t>
      </w:r>
      <w:r>
        <w:rPr>
          <w:sz w:val="26"/>
          <w:szCs w:val="26"/>
          <w:rtl w:val="0"/>
          <w:lang w:val="ru-RU"/>
        </w:rPr>
        <w:t xml:space="preserve"> 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27).</w:t>
      </w:r>
    </w:p>
    <w:p>
      <w:pPr>
        <w:pStyle w:val="Обычный"/>
        <w:jc w:val="both"/>
        <w:rPr>
          <w:sz w:val="16"/>
          <w:szCs w:val="1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Признаки и обозначения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используемые для оценки отличимости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однородности и стабильности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 степени их выраженности приведены в таблице </w:t>
      </w:r>
      <w:r>
        <w:rPr>
          <w:sz w:val="26"/>
          <w:szCs w:val="26"/>
          <w:rtl w:val="0"/>
          <w:lang w:val="en-US"/>
        </w:rPr>
        <w:t>VII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(*) </w:t>
      </w:r>
      <w:r>
        <w:rPr>
          <w:sz w:val="26"/>
          <w:szCs w:val="26"/>
          <w:rtl w:val="0"/>
          <w:lang w:val="ru-RU"/>
        </w:rPr>
        <w:t>указывает на то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данный признак следует отмечать каждый вегетационный период для оценки всех сортов и всегда включать в описание сорта за исключением случаев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когда степень выраженности предыдущего признака указывает на его отсутствие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или когда условия окружающей среды делают это невозможным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(+) </w:t>
      </w:r>
      <w:r>
        <w:rPr>
          <w:sz w:val="26"/>
          <w:szCs w:val="26"/>
          <w:rtl w:val="0"/>
          <w:lang w:val="ru-RU"/>
        </w:rPr>
        <w:t>означает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описание признака сопровождают в методике дополнительными объяснениями 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иллюстрациями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По каждому признаку указан порядок его учета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indentpara"/>
        <w:ind w:left="1134" w:hanging="567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MG:</w:t>
        <w:tab/>
      </w:r>
      <w:r>
        <w:rPr>
          <w:sz w:val="26"/>
          <w:szCs w:val="26"/>
          <w:rtl w:val="0"/>
          <w:lang w:val="ru-RU"/>
        </w:rPr>
        <w:t>однократное измерение группы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indentpara"/>
        <w:ind w:left="1134" w:hanging="567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MS:</w:t>
        <w:tab/>
      </w:r>
      <w:r>
        <w:rPr>
          <w:sz w:val="26"/>
          <w:szCs w:val="26"/>
          <w:rtl w:val="0"/>
          <w:lang w:val="ru-RU"/>
        </w:rPr>
        <w:t>измерение определенного количества отдельных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indentpara"/>
        <w:ind w:left="1134" w:hanging="567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VG:</w:t>
        <w:tab/>
      </w:r>
      <w:r>
        <w:rPr>
          <w:sz w:val="26"/>
          <w:szCs w:val="26"/>
          <w:rtl w:val="0"/>
          <w:lang w:val="ru-RU"/>
        </w:rPr>
        <w:t>визуальная однократная оценка группы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Текст концевой сноски"/>
        <w:tabs>
          <w:tab w:val="clear" w:pos="284"/>
        </w:tabs>
        <w:ind w:left="1134" w:hanging="567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VS:</w:t>
        <w:tab/>
      </w:r>
      <w:r>
        <w:rPr>
          <w:sz w:val="26"/>
          <w:szCs w:val="26"/>
          <w:rtl w:val="0"/>
          <w:lang w:val="ru-RU"/>
        </w:rPr>
        <w:t>визуальная оценка определенного количества отдельных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С – специальные испытания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Значениям выраженности признака присвоены индексы </w:t>
      </w:r>
      <w:r>
        <w:rPr>
          <w:sz w:val="26"/>
          <w:szCs w:val="26"/>
          <w:rtl w:val="0"/>
          <w:lang w:val="ru-RU"/>
        </w:rPr>
        <w:t xml:space="preserve">(1 - 9) </w:t>
      </w:r>
      <w:r>
        <w:rPr>
          <w:sz w:val="26"/>
          <w:szCs w:val="26"/>
          <w:rtl w:val="0"/>
          <w:lang w:val="ru-RU"/>
        </w:rPr>
        <w:t>для электронной обработки результатов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 большинству значений выраженности признаков указаны эталонные сорта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left="709" w:firstLine="0"/>
        <w:rPr>
          <w:sz w:val="25"/>
          <w:szCs w:val="25"/>
        </w:rPr>
      </w:pP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QL 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качественный признак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left="709" w:firstLine="0"/>
        <w:rPr>
          <w:sz w:val="25"/>
          <w:szCs w:val="25"/>
        </w:rPr>
      </w:pP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QN 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количественный признак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left="709" w:firstLine="0"/>
        <w:rPr>
          <w:sz w:val="25"/>
          <w:szCs w:val="25"/>
        </w:rPr>
      </w:pP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PQ 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псевдокачественный признак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(a)-(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смотрите пояснения к Таблице признаков в разделе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VIII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части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8.1.</w:t>
      </w:r>
    </w:p>
    <w:p>
      <w:pPr>
        <w:pStyle w:val="Обычный"/>
        <w:ind w:right="283"/>
        <w:jc w:val="both"/>
        <w:rPr>
          <w:sz w:val="16"/>
          <w:szCs w:val="16"/>
          <w:lang w:val="en-US"/>
        </w:rPr>
      </w:pPr>
    </w:p>
    <w:p>
      <w:pPr>
        <w:pStyle w:val="Обычный"/>
        <w:ind w:right="283"/>
        <w:jc w:val="both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VII.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Таблица признаков</w:t>
      </w:r>
    </w:p>
    <w:tbl>
      <w:tblPr>
        <w:tblW w:w="9781" w:type="dxa"/>
        <w:jc w:val="left"/>
        <w:tblInd w:w="1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9"/>
        <w:gridCol w:w="3402"/>
        <w:gridCol w:w="1276"/>
        <w:gridCol w:w="2835"/>
        <w:gridCol w:w="1559"/>
      </w:tblGrid>
      <w:tr>
        <w:tblPrEx>
          <w:shd w:val="clear" w:color="auto" w:fill="4f81bd"/>
        </w:tblPrEx>
        <w:trPr>
          <w:trHeight w:val="600" w:hRule="atLeast"/>
          <w:tblHeader/>
        </w:trPr>
        <w:tc>
          <w:tcPr>
            <w:tcW w:type="dxa" w:w="41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Признак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Порядок учета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Степень выраженности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QL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Плоидность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VG/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MS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односемянн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многосемянн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QL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Сеянец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красная окраска гипокотиля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положение черешка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прямостояч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полупрямостояч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горизонтальн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положение пластинки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прямостоячее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полупрямостоячее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горизонтальное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полуприжатое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прижатое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длина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включая 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VG/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MS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длина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VG/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MS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ширина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VG/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MS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ширины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форма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узкоовальная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овальная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широкоовальная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окраска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 основном зеленая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зеленая и красная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 основном красная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10.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интенсивность зеленой окраски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11.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красная окраска жилок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сильная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12.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волнистость края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сильная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13.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пузырчатость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14.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ширина основания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 места прикрепления к корнеплоду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узк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ширины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15.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PQ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основная окраска нижней стороны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оранжев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красн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фиолетов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16.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погруженность в почву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(b)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мелк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мелк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глубок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глубок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ий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17.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PQ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форма продольного сечения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(b)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узкоэллиптическая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среднеэллиптическая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округлая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обратнояйцевидная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узко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продолговатая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узко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обратнояйцевидная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18.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VG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MS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(b)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19.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ширина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VG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MS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(b)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узк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ширины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ий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отношение длины к ширине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MS/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(b)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низкое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высокое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21.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PQ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форма основания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кончика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(b)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заостренн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округл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плоск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вогнут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22.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характер опробковения головки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(b)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слаб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сильн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23.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PQ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внешняя окраска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бел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желт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красновато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пурпурн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24.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PQ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основная окраска мякоти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белая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желто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оранжевая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красная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фиолетовая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25.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интенсивность основной окраски мякоти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26.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выраженность колец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(b)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слаб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сильн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ый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27.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QN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Склонность к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 укоренению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при раннем посеве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</w:tr>
    </w:tbl>
    <w:p>
      <w:pPr>
        <w:pStyle w:val="Обычный"/>
        <w:widowControl w:val="0"/>
        <w:ind w:left="70" w:hanging="70"/>
        <w:jc w:val="both"/>
        <w:rPr>
          <w:sz w:val="26"/>
          <w:szCs w:val="26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4"/>
          <w:szCs w:val="24"/>
          <w:rtl w:val="0"/>
          <w:lang w:val="en-US"/>
        </w:rPr>
        <w:t>VIII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Объяснения и методы проведения учетов</w:t>
      </w:r>
    </w:p>
    <w:p>
      <w:pPr>
        <w:pStyle w:val="Обычный"/>
        <w:ind w:left="708" w:firstLine="708"/>
        <w:jc w:val="both"/>
        <w:rPr>
          <w:sz w:val="26"/>
          <w:szCs w:val="26"/>
        </w:rPr>
      </w:pP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8.1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Объяснения по нескольким признакам</w:t>
      </w:r>
    </w:p>
    <w:p>
      <w:pPr>
        <w:pStyle w:val="Обычный"/>
        <w:jc w:val="both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ab/>
        <w:t>Признаки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содержащие обозначения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)-(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третьей колонке Таблицы признаков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следует наблюдать следующим образом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ind w:firstLine="708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(a)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наблюдения на листьях проводят на полностью развитых листьях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firstLine="708"/>
        <w:jc w:val="both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(b)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наблюдения на корнеплоде проводят на полностью развитых корнеплодах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tabs>
          <w:tab w:val="left" w:pos="8222"/>
        </w:tabs>
        <w:jc w:val="both"/>
        <w:rPr>
          <w:sz w:val="16"/>
          <w:szCs w:val="16"/>
          <w:u w:val="single"/>
        </w:rPr>
      </w:pPr>
    </w:p>
    <w:p>
      <w:pPr>
        <w:pStyle w:val="Обычный"/>
        <w:jc w:val="both"/>
        <w:rPr>
          <w:sz w:val="26"/>
          <w:szCs w:val="26"/>
        </w:rPr>
      </w:pPr>
      <w:r>
        <w:rPr>
          <w:i w:val="1"/>
          <w:iCs w:val="1"/>
          <w:outline w:val="0"/>
          <w:color w:val="000000"/>
          <w:sz w:val="25"/>
          <w:szCs w:val="25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8.2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Объяснения по отдельным признакам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1. </w:t>
      </w:r>
      <w:r>
        <w:rPr>
          <w:sz w:val="26"/>
          <w:szCs w:val="26"/>
          <w:u w:val="single"/>
          <w:rtl w:val="0"/>
          <w:lang w:val="ru-RU"/>
        </w:rPr>
        <w:t>Плоидность</w:t>
      </w:r>
    </w:p>
    <w:p>
      <w:pPr>
        <w:pStyle w:val="Обычный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Плоидность оценивают на </w:t>
      </w:r>
      <w:r>
        <w:rPr>
          <w:sz w:val="24"/>
          <w:szCs w:val="24"/>
          <w:rtl w:val="0"/>
          <w:lang w:val="ru-RU"/>
        </w:rPr>
        <w:t xml:space="preserve">200 </w:t>
      </w:r>
      <w:r>
        <w:rPr>
          <w:sz w:val="24"/>
          <w:szCs w:val="24"/>
          <w:rtl w:val="0"/>
          <w:lang w:val="ru-RU"/>
        </w:rPr>
        <w:t>соплодиях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Односемянные сорта должны быть генетически односемянными 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меньшей мере</w:t>
      </w:r>
      <w:r>
        <w:rPr>
          <w:sz w:val="24"/>
          <w:szCs w:val="24"/>
          <w:rtl w:val="0"/>
          <w:lang w:val="ru-RU"/>
        </w:rPr>
        <w:t xml:space="preserve">, 90% </w:t>
      </w:r>
      <w:r>
        <w:rPr>
          <w:sz w:val="24"/>
          <w:szCs w:val="24"/>
          <w:rtl w:val="0"/>
          <w:lang w:val="ru-RU"/>
        </w:rPr>
        <w:t>соплодий должно давать одно растение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Соплодия многосемянных сортов дают менее </w:t>
      </w:r>
      <w:r>
        <w:rPr>
          <w:sz w:val="24"/>
          <w:szCs w:val="24"/>
          <w:rtl w:val="0"/>
          <w:lang w:val="ru-RU"/>
        </w:rPr>
        <w:t xml:space="preserve">90% </w:t>
      </w:r>
      <w:r>
        <w:rPr>
          <w:sz w:val="24"/>
          <w:szCs w:val="24"/>
          <w:rtl w:val="0"/>
          <w:lang w:val="ru-RU"/>
        </w:rPr>
        <w:t>односемянных растений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8222"/>
        </w:tabs>
        <w:jc w:val="both"/>
        <w:rPr>
          <w:sz w:val="16"/>
          <w:szCs w:val="1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17. </w:t>
      </w:r>
      <w:r>
        <w:rPr>
          <w:sz w:val="26"/>
          <w:szCs w:val="26"/>
          <w:u w:val="single"/>
          <w:rtl w:val="0"/>
          <w:lang w:val="ru-RU"/>
        </w:rPr>
        <w:t>Корнеплод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форма продольного сечения</w:t>
      </w:r>
    </w:p>
    <w:tbl>
      <w:tblPr>
        <w:tblW w:w="8507" w:type="dxa"/>
        <w:jc w:val="left"/>
        <w:tblInd w:w="78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0"/>
        <w:gridCol w:w="357"/>
        <w:gridCol w:w="617"/>
        <w:gridCol w:w="160"/>
        <w:gridCol w:w="2551"/>
        <w:gridCol w:w="709"/>
        <w:gridCol w:w="992"/>
        <w:gridCol w:w="851"/>
        <w:gridCol w:w="710"/>
      </w:tblGrid>
      <w:tr>
        <w:tblPrEx>
          <w:shd w:val="clear" w:color="auto" w:fill="ced7e7"/>
        </w:tblPrEx>
        <w:trPr>
          <w:trHeight w:val="1544" w:hRule="atLeast"/>
        </w:trPr>
        <w:tc>
          <w:tcPr>
            <w:tcW w:type="dxa" w:w="8507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5263394" cy="952699"/>
                  <wp:effectExtent l="0" t="0" r="0" b="0"/>
                  <wp:docPr id="1073741825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394" cy="9526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1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7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156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1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плоский</w:t>
            </w:r>
          </w:p>
        </w:tc>
        <w:tc>
          <w:tcPr>
            <w:tcW w:type="dxa" w:w="77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6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округло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плоский</w:t>
            </w: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156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округлый</w:t>
            </w:r>
          </w:p>
        </w:tc>
      </w:tr>
      <w:tr>
        <w:tblPrEx>
          <w:shd w:val="clear" w:color="auto" w:fill="ced7e7"/>
        </w:tblPrEx>
        <w:trPr>
          <w:trHeight w:val="2726" w:hRule="atLeast"/>
        </w:trPr>
        <w:tc>
          <w:tcPr>
            <w:tcW w:type="dxa" w:w="7797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4849369" cy="1703645"/>
                  <wp:effectExtent l="0" t="0" r="0" b="0"/>
                  <wp:docPr id="1073741826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9369" cy="17036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97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71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7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184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7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овальный</w:t>
            </w:r>
          </w:p>
        </w:tc>
        <w:tc>
          <w:tcPr>
            <w:tcW w:type="dxa" w:w="97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71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цилиндрический</w:t>
            </w:r>
          </w:p>
        </w:tc>
        <w:tc>
          <w:tcPr>
            <w:tcW w:type="dxa" w:w="7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184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конический</w:t>
            </w:r>
          </w:p>
        </w:tc>
        <w:tc>
          <w:tcPr>
            <w:tcW w:type="dxa" w:w="7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97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71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7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184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7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tabs>
          <w:tab w:val="left" w:pos="8222"/>
        </w:tabs>
        <w:ind w:left="675" w:hanging="675"/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21. </w:t>
      </w:r>
      <w:r>
        <w:rPr>
          <w:sz w:val="26"/>
          <w:szCs w:val="26"/>
          <w:u w:val="single"/>
          <w:rtl w:val="0"/>
          <w:lang w:val="ru-RU"/>
        </w:rPr>
        <w:t>Корнеплод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форма основания </w:t>
      </w:r>
      <w:r>
        <w:rPr>
          <w:sz w:val="26"/>
          <w:szCs w:val="26"/>
          <w:u w:val="single"/>
          <w:rtl w:val="0"/>
          <w:lang w:val="ru-RU"/>
        </w:rPr>
        <w:t>(</w:t>
      </w:r>
      <w:r>
        <w:rPr>
          <w:sz w:val="26"/>
          <w:szCs w:val="26"/>
          <w:u w:val="single"/>
          <w:rtl w:val="0"/>
          <w:lang w:val="ru-RU"/>
        </w:rPr>
        <w:t>кончика</w:t>
      </w:r>
      <w:r>
        <w:rPr>
          <w:sz w:val="26"/>
          <w:szCs w:val="26"/>
          <w:u w:val="single"/>
          <w:rtl w:val="0"/>
          <w:lang w:val="ru-RU"/>
        </w:rPr>
        <w:t>)</w:t>
      </w:r>
    </w:p>
    <w:tbl>
      <w:tblPr>
        <w:tblW w:w="9407" w:type="dxa"/>
        <w:jc w:val="left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42"/>
        <w:gridCol w:w="236"/>
        <w:gridCol w:w="1976"/>
        <w:gridCol w:w="292"/>
        <w:gridCol w:w="1942"/>
        <w:gridCol w:w="326"/>
        <w:gridCol w:w="2693"/>
      </w:tblGrid>
      <w:tr>
        <w:tblPrEx>
          <w:shd w:val="clear" w:color="auto" w:fill="ced7e7"/>
        </w:tblPrEx>
        <w:trPr>
          <w:trHeight w:val="1976" w:hRule="atLeast"/>
        </w:trPr>
        <w:tc>
          <w:tcPr>
            <w:tcW w:type="dxa" w:w="9407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5755737" cy="1227183"/>
                  <wp:effectExtent l="0" t="0" r="0" b="0"/>
                  <wp:docPr id="1073741827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5737" cy="122718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1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19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6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9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заостренное</w:t>
            </w:r>
          </w:p>
        </w:tc>
        <w:tc>
          <w:tcPr>
            <w:tcW w:type="dxa" w:w="2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1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округлое</w:t>
            </w:r>
          </w:p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19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плоское</w:t>
            </w:r>
          </w:p>
        </w:tc>
        <w:tc>
          <w:tcPr>
            <w:tcW w:type="dxa" w:w="3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6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вогнутое</w:t>
            </w:r>
          </w:p>
        </w:tc>
      </w:tr>
      <w:tr>
        <w:tblPrEx>
          <w:shd w:val="clear" w:color="auto" w:fill="ced7e7"/>
        </w:tblPrEx>
        <w:trPr>
          <w:trHeight w:val="173" w:hRule="atLeast"/>
        </w:trPr>
        <w:tc>
          <w:tcPr>
            <w:tcW w:type="dxa" w:w="19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1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19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6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</w:tr>
    </w:tbl>
    <w:p>
      <w:pPr>
        <w:pStyle w:val="Обычный"/>
        <w:widowControl w:val="0"/>
        <w:tabs>
          <w:tab w:val="left" w:pos="8222"/>
        </w:tabs>
        <w:ind w:left="392" w:hanging="392"/>
        <w:jc w:val="both"/>
      </w:pPr>
      <w:r>
        <w:rPr>
          <w:sz w:val="26"/>
          <w:szCs w:val="26"/>
          <w:u w:val="single"/>
        </w:rPr>
      </w:r>
    </w:p>
    <w:sectPr>
      <w:headerReference w:type="default" r:id="rId7"/>
      <w:footerReference w:type="default" r:id="rId8"/>
      <w:pgSz w:w="11900" w:h="16840" w:orient="portrait"/>
      <w:pgMar w:top="1135" w:right="992" w:bottom="1276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/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indentpara">
    <w:name w:val="indentpara"/>
    <w:next w:val="indentpar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Текст концевой сноски">
    <w:name w:val="Текст концевой сноски"/>
    <w:next w:val="Текст концевой сноски"/>
    <w:pPr>
      <w:keepNext w:val="0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notes" Target="footnotes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