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tabs>
          <w:tab w:val="left" w:pos="9294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                                                          </w:t>
      </w:r>
      <w:r>
        <w:rPr>
          <w:sz w:val="24"/>
          <w:szCs w:val="24"/>
          <w:rtl w:val="0"/>
          <w:lang w:val="ru-RU"/>
        </w:rPr>
        <w:t xml:space="preserve">Приложение 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>к Приказу №</w:t>
      </w:r>
      <w:r>
        <w:rPr>
          <w:sz w:val="24"/>
          <w:szCs w:val="24"/>
          <w:rtl w:val="0"/>
        </w:rPr>
        <w:t xml:space="preserve"> </w:t>
      </w:r>
    </w:p>
    <w:p>
      <w:pPr>
        <w:pStyle w:val="Обычный"/>
        <w:tabs>
          <w:tab w:val="left" w:pos="9294"/>
        </w:tabs>
        <w:jc w:val="right"/>
        <w:rPr>
          <w:sz w:val="24"/>
          <w:szCs w:val="24"/>
        </w:rPr>
      </w:pPr>
    </w:p>
    <w:tbl>
      <w:tblPr>
        <w:tblW w:w="4785" w:type="dxa"/>
        <w:jc w:val="right"/>
        <w:tblInd w:w="53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5"/>
      </w:tblGrid>
      <w:tr>
        <w:tblPrEx>
          <w:shd w:val="clear" w:color="auto" w:fill="ced7e7"/>
        </w:tblPrEx>
        <w:trPr>
          <w:trHeight w:val="2690" w:hRule="atLeast"/>
        </w:trPr>
        <w:tc>
          <w:tcPr>
            <w:tcW w:type="dxa" w:w="4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УТВЕРЖДАЮ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Председатель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Республиканского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Государственного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учреждения «Государственная комиссия по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сортоиспытанию сельскохозяйственных культур»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____________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Ажгалиев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«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___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______________ 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Обычный"/>
        <w:widowControl w:val="0"/>
        <w:tabs>
          <w:tab w:val="left" w:pos="9294"/>
        </w:tabs>
        <w:ind w:left="5211" w:hanging="5211"/>
        <w:jc w:val="right"/>
        <w:rPr>
          <w:sz w:val="24"/>
          <w:szCs w:val="24"/>
        </w:rPr>
      </w:pPr>
    </w:p>
    <w:p>
      <w:pPr>
        <w:pStyle w:val="Обычный"/>
        <w:spacing w:line="360" w:lineRule="auto"/>
        <w:ind w:left="5387" w:firstLine="0"/>
      </w:pPr>
    </w:p>
    <w:p>
      <w:pPr>
        <w:pStyle w:val="Заголовок 1"/>
      </w:pPr>
      <w:r>
        <w:rPr>
          <w:rtl w:val="0"/>
          <w:lang w:val="ru-RU"/>
        </w:rPr>
        <w:t>МЕТОДИКА ПРОВЕДЕНИЯ ИСПЫТАНИЙ</w:t>
      </w: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НА ОТЛИЧИМОСТЬ</w:t>
      </w:r>
      <w:r>
        <w:rPr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ОДНОРОДНОСТЬ И СТАБИЛЬНОСТЬ</w:t>
      </w: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СВЕКЛА ЛИСТОВАЯ</w:t>
      </w:r>
      <w:r>
        <w:rPr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 xml:space="preserve">МАНГОЛЬД </w:t>
      </w: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i w:val="1"/>
          <w:i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Beta</w:t>
      </w:r>
      <w:r>
        <w:rPr>
          <w:b w:val="1"/>
          <w:bCs w:val="1"/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vulgaris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 xml:space="preserve">ssp.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vulgaris</w:t>
      </w:r>
      <w:r>
        <w:rPr>
          <w:b w:val="1"/>
          <w:bCs w:val="1"/>
          <w:sz w:val="26"/>
          <w:szCs w:val="26"/>
          <w:rtl w:val="0"/>
          <w:lang w:val="ru-RU"/>
        </w:rPr>
        <w:t xml:space="preserve"> var.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flavescens</w:t>
      </w:r>
      <w:r>
        <w:rPr>
          <w:b w:val="1"/>
          <w:bCs w:val="1"/>
          <w:sz w:val="26"/>
          <w:szCs w:val="26"/>
          <w:rtl w:val="0"/>
          <w:lang w:val="ru-RU"/>
        </w:rPr>
        <w:t xml:space="preserve"> DC.)</w:t>
      </w: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Общие рекомендации</w:t>
      </w: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sz w:val="26"/>
          <w:szCs w:val="26"/>
          <w:rtl w:val="0"/>
          <w:lang w:val="ru-RU"/>
        </w:rPr>
        <w:tab/>
        <w:t xml:space="preserve">Данная методика применима ко всем сортам </w:t>
      </w:r>
      <w:r>
        <w:rPr>
          <w:b w:val="1"/>
          <w:bCs w:val="1"/>
          <w:i w:val="1"/>
          <w:i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Beta</w:t>
      </w:r>
      <w:r>
        <w:rPr>
          <w:b w:val="1"/>
          <w:bCs w:val="1"/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vulgaris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 xml:space="preserve">ssp.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vulgaris</w:t>
      </w:r>
      <w:r>
        <w:rPr>
          <w:b w:val="1"/>
          <w:bCs w:val="1"/>
          <w:sz w:val="26"/>
          <w:szCs w:val="26"/>
          <w:rtl w:val="0"/>
          <w:lang w:val="ru-RU"/>
        </w:rPr>
        <w:t xml:space="preserve"> var.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flavescens</w:t>
      </w:r>
      <w:r>
        <w:rPr>
          <w:b w:val="1"/>
          <w:bCs w:val="1"/>
          <w:sz w:val="26"/>
          <w:szCs w:val="26"/>
          <w:rtl w:val="0"/>
          <w:lang w:val="ru-RU"/>
        </w:rPr>
        <w:t xml:space="preserve"> DC.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синоним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Beta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vulgaris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var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vulgaris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.)</w:t>
      </w: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sz w:val="26"/>
          <w:szCs w:val="26"/>
          <w:rtl w:val="0"/>
          <w:lang w:val="ru-RU"/>
        </w:rPr>
        <w:t xml:space="preserve"> </w:t>
      </w:r>
      <w:bookmarkStart w:name="_Hlk172909403" w:id="0"/>
      <w:r>
        <w:rPr>
          <w:sz w:val="26"/>
          <w:szCs w:val="26"/>
          <w:rtl w:val="0"/>
          <w:lang w:val="ru-RU"/>
        </w:rPr>
        <w:t xml:space="preserve">При пользовании данной методикой следует также руководствоваться Приказом Министра сельского хозяйства Республики Казахстан от </w:t>
      </w:r>
      <w:r>
        <w:rPr>
          <w:sz w:val="26"/>
          <w:szCs w:val="26"/>
          <w:rtl w:val="0"/>
          <w:lang w:val="ru-RU"/>
        </w:rPr>
        <w:t xml:space="preserve">2 </w:t>
      </w:r>
      <w:r>
        <w:rPr>
          <w:sz w:val="26"/>
          <w:szCs w:val="26"/>
          <w:rtl w:val="0"/>
          <w:lang w:val="ru-RU"/>
        </w:rPr>
        <w:t xml:space="preserve">июля </w:t>
      </w:r>
      <w:r>
        <w:rPr>
          <w:sz w:val="26"/>
          <w:szCs w:val="26"/>
          <w:rtl w:val="0"/>
          <w:lang w:val="ru-RU"/>
        </w:rPr>
        <w:t xml:space="preserve">2015 </w:t>
      </w:r>
      <w:r>
        <w:rPr>
          <w:sz w:val="26"/>
          <w:szCs w:val="26"/>
          <w:rtl w:val="0"/>
          <w:lang w:val="ru-RU"/>
        </w:rPr>
        <w:t>года №</w:t>
      </w:r>
      <w:r>
        <w:rPr>
          <w:sz w:val="26"/>
          <w:szCs w:val="26"/>
          <w:rtl w:val="0"/>
          <w:lang w:val="ru-RU"/>
        </w:rPr>
        <w:t xml:space="preserve">4-2/602 </w:t>
      </w:r>
      <w:r>
        <w:rPr>
          <w:sz w:val="26"/>
          <w:szCs w:val="26"/>
          <w:rtl w:val="0"/>
          <w:lang w:val="ru-RU"/>
        </w:rPr>
        <w:t>«Об утверждении Правил проведения сортоиспытания сельскохозяйственных растений»</w:t>
      </w:r>
      <w:r>
        <w:rPr>
          <w:sz w:val="26"/>
          <w:szCs w:val="26"/>
          <w:rtl w:val="0"/>
          <w:lang w:val="ru-RU"/>
        </w:rPr>
        <w:t xml:space="preserve">. </w:t>
      </w:r>
      <w:bookmarkEnd w:id="0"/>
      <w:r>
        <w:rPr>
          <w:sz w:val="26"/>
          <w:szCs w:val="26"/>
          <w:rtl w:val="0"/>
          <w:lang w:val="ru-RU"/>
        </w:rPr>
        <w:t>Оценка значений количественных признаков дана в Приложении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Требуемый материал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 xml:space="preserve">На весь цикл испытания необходим исходный образец семян массой </w:t>
      </w:r>
      <w:r>
        <w:rPr>
          <w:sz w:val="26"/>
          <w:szCs w:val="26"/>
          <w:rtl w:val="0"/>
          <w:lang w:val="ru-RU"/>
        </w:rPr>
        <w:t xml:space="preserve">100 </w:t>
      </w:r>
      <w:r>
        <w:rPr>
          <w:sz w:val="26"/>
          <w:szCs w:val="26"/>
          <w:rtl w:val="0"/>
          <w:lang w:val="ru-RU"/>
        </w:rPr>
        <w:t>г или</w:t>
      </w:r>
      <w:r>
        <w:rPr>
          <w:sz w:val="26"/>
          <w:szCs w:val="26"/>
          <w:rtl w:val="0"/>
          <w:lang w:val="ru-RU"/>
        </w:rPr>
        <w:t xml:space="preserve">,  </w:t>
      </w:r>
      <w:r>
        <w:rPr>
          <w:sz w:val="26"/>
          <w:szCs w:val="26"/>
          <w:rtl w:val="0"/>
          <w:lang w:val="ru-RU"/>
        </w:rPr>
        <w:t>по крайней мере</w:t>
      </w:r>
      <w:r>
        <w:rPr>
          <w:sz w:val="26"/>
          <w:szCs w:val="26"/>
          <w:rtl w:val="0"/>
          <w:lang w:val="ru-RU"/>
        </w:rPr>
        <w:t xml:space="preserve">, 6600 </w:t>
      </w:r>
      <w:r>
        <w:rPr>
          <w:sz w:val="26"/>
          <w:szCs w:val="26"/>
          <w:rtl w:val="0"/>
          <w:lang w:val="ru-RU"/>
        </w:rPr>
        <w:t>шт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семян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Семена для испытания должны соответствовать по посевным качествам требованиям ГОСТа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>Семена не должны быть обработаны ядохимикатами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если на то нет разрешения или требования Госкомиссии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Если семена были обработаны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то необходимо дать подробное описание обработки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>Заявитель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высылающий семена из другой страны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должен полностью соблюдать все таможенные правила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jc w:val="both"/>
        <w:rPr>
          <w:sz w:val="16"/>
          <w:szCs w:val="1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III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Проведение испытаний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>Полевые опыты проводят в одном месте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условиях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обеспечивающих нормальное развитие культуры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течение двух вегетационных периодов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Если в этом месте не могут быть определены какие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либо важные признаки сорта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то он может быть испытан в дополнительном месте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При необходимости испытание продолжают на третий год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Размер делянок должен быть таким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чтобы при отборе растений или их частей для измерений не наносилось ущерба наблюдениям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 продолжают до конца вегетационного периода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 xml:space="preserve">Как минимум каждое испытание должно включать в общем </w:t>
      </w:r>
      <w:r>
        <w:rPr>
          <w:sz w:val="26"/>
          <w:szCs w:val="26"/>
          <w:rtl w:val="0"/>
          <w:lang w:val="ru-RU"/>
        </w:rPr>
        <w:t xml:space="preserve">100 </w:t>
      </w:r>
      <w:r>
        <w:rPr>
          <w:sz w:val="26"/>
          <w:szCs w:val="26"/>
          <w:rtl w:val="0"/>
          <w:lang w:val="ru-RU"/>
        </w:rPr>
        <w:t xml:space="preserve">растений в открытом грунте или </w:t>
      </w:r>
      <w:r>
        <w:rPr>
          <w:sz w:val="26"/>
          <w:szCs w:val="26"/>
          <w:rtl w:val="0"/>
          <w:lang w:val="ru-RU"/>
        </w:rPr>
        <w:t xml:space="preserve">60 </w:t>
      </w:r>
      <w:r>
        <w:rPr>
          <w:sz w:val="26"/>
          <w:szCs w:val="26"/>
          <w:rtl w:val="0"/>
          <w:lang w:val="ru-RU"/>
        </w:rPr>
        <w:t>растений в защищенном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разделенных на два повторения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Отдельные делянки для наблюдений и измерений могут быть использованы лишь в том случае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если они находятся в сходных климатических условиях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>Оцениваемый и похожий на него сорта высевают на смежных делянках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 опыте размещают и делянки эталонных сортов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5. </w:t>
      </w:r>
      <w:r>
        <w:rPr>
          <w:sz w:val="26"/>
          <w:szCs w:val="26"/>
          <w:rtl w:val="0"/>
          <w:lang w:val="ru-RU"/>
        </w:rPr>
        <w:t>Для специальных целей могут быть назначены дополнительные испытания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jc w:val="both"/>
        <w:rPr>
          <w:sz w:val="16"/>
          <w:szCs w:val="1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IV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Методы и наблюдения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>Если не указано иное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все наблюдения должны быть проведены на </w:t>
      </w:r>
      <w:r>
        <w:rPr>
          <w:sz w:val="26"/>
          <w:szCs w:val="26"/>
          <w:rtl w:val="0"/>
          <w:lang w:val="ru-RU"/>
        </w:rPr>
        <w:t xml:space="preserve">20 </w:t>
      </w:r>
      <w:r>
        <w:rPr>
          <w:sz w:val="26"/>
          <w:szCs w:val="26"/>
          <w:rtl w:val="0"/>
          <w:lang w:val="ru-RU"/>
        </w:rPr>
        <w:t>растениях или частях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взятых от каждого из </w:t>
      </w:r>
      <w:r>
        <w:rPr>
          <w:sz w:val="26"/>
          <w:szCs w:val="26"/>
          <w:rtl w:val="0"/>
          <w:lang w:val="ru-RU"/>
        </w:rPr>
        <w:t xml:space="preserve">20 </w:t>
      </w:r>
      <w:r>
        <w:rPr>
          <w:sz w:val="26"/>
          <w:szCs w:val="26"/>
          <w:rtl w:val="0"/>
          <w:lang w:val="ru-RU"/>
        </w:rPr>
        <w:t>растений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Толкование результатов проводят в соответствии с правилами для перекрестно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опыляемых сортов как указано в «Общем введении по испытанию на отличимость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однородность и стабильность и составлению описаний»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>Однородность сорта определяют относительно фактической однородности общеизвестного сорта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Изменчивость сорта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 xml:space="preserve">кандидата не должна превышать изменчивости общеизвестного сорта в </w:t>
      </w:r>
      <w:r>
        <w:rPr>
          <w:sz w:val="26"/>
          <w:szCs w:val="26"/>
          <w:rtl w:val="0"/>
          <w:lang w:val="ru-RU"/>
        </w:rPr>
        <w:t xml:space="preserve">1,6 </w:t>
      </w:r>
      <w:r>
        <w:rPr>
          <w:sz w:val="26"/>
          <w:szCs w:val="26"/>
          <w:rtl w:val="0"/>
          <w:lang w:val="ru-RU"/>
        </w:rPr>
        <w:t>раза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>Оценка однородности гибридных сортов зависит от типа гибрида и проводят её в соответствии с рекомендациями для гибридных сортов в «Общем введении по испытанию на отличимость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однородность и стабильность и составлению описаний»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16"/>
          <w:szCs w:val="16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Группирование сортов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Испытываемый сорт и похожие сорта реферативной коллекции должны быть разбиты на группы для облегчения оценки на отличимость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Для группировки используют такие признаки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исходя из практического опыта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 варьируют или варьируют незначительно в пределах сорта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 их варьирование в пределах коллекции распределено равномерно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Рекомендуется использовать следующие признаки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1) </w:t>
      </w:r>
      <w:r>
        <w:rPr>
          <w:sz w:val="26"/>
          <w:szCs w:val="26"/>
          <w:rtl w:val="0"/>
          <w:lang w:val="ru-RU"/>
        </w:rPr>
        <w:t>листовая пластинка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интенсивность зеленой окраски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7);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2) </w:t>
      </w:r>
      <w:r>
        <w:rPr>
          <w:sz w:val="26"/>
          <w:szCs w:val="26"/>
          <w:rtl w:val="0"/>
          <w:lang w:val="ru-RU"/>
        </w:rPr>
        <w:t>листовая пластинка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антоциановая окраска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признак</w:t>
      </w:r>
      <w:r>
        <w:rPr>
          <w:sz w:val="26"/>
          <w:szCs w:val="26"/>
          <w:rtl w:val="0"/>
        </w:rPr>
        <w:t>и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sz w:val="26"/>
          <w:szCs w:val="26"/>
          <w:rtl w:val="0"/>
        </w:rPr>
        <w:t>8,9</w:t>
      </w:r>
      <w:r>
        <w:rPr>
          <w:sz w:val="26"/>
          <w:szCs w:val="26"/>
          <w:rtl w:val="0"/>
          <w:lang w:val="ru-RU"/>
        </w:rPr>
        <w:t>);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3) </w:t>
      </w:r>
      <w:r>
        <w:rPr>
          <w:sz w:val="26"/>
          <w:szCs w:val="26"/>
          <w:rtl w:val="0"/>
          <w:lang w:val="ru-RU"/>
        </w:rPr>
        <w:t>черешок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ширина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14);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4) </w:t>
      </w:r>
      <w:r>
        <w:rPr>
          <w:sz w:val="26"/>
          <w:szCs w:val="26"/>
          <w:rtl w:val="0"/>
          <w:lang w:val="ru-RU"/>
        </w:rPr>
        <w:t>черешок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окраска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16).</w:t>
      </w:r>
    </w:p>
    <w:p>
      <w:pPr>
        <w:pStyle w:val="Обычный"/>
        <w:jc w:val="both"/>
        <w:rPr>
          <w:sz w:val="16"/>
          <w:szCs w:val="1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Признаки и обозначения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Признаки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используемые для оценки отличимости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однородности и стабильности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и степени их выраженности приведены в таблице </w:t>
      </w:r>
      <w:r>
        <w:rPr>
          <w:sz w:val="26"/>
          <w:szCs w:val="26"/>
          <w:rtl w:val="0"/>
          <w:lang w:val="en-US"/>
        </w:rPr>
        <w:t>VII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Отметка </w:t>
      </w:r>
      <w:r>
        <w:rPr>
          <w:sz w:val="26"/>
          <w:szCs w:val="26"/>
          <w:rtl w:val="0"/>
          <w:lang w:val="ru-RU"/>
        </w:rPr>
        <w:t xml:space="preserve">(*) </w:t>
      </w:r>
      <w:r>
        <w:rPr>
          <w:sz w:val="26"/>
          <w:szCs w:val="26"/>
          <w:rtl w:val="0"/>
          <w:lang w:val="ru-RU"/>
        </w:rPr>
        <w:t>указывает на то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данный признак следует отмечать каждый вегетационный период для оценки всех сортов и всегда включать в описание сорта за исключением случаев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когда степень выраженности предыдущего признака указывает на его отсутствие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или когда условия окружающей среды делают это невозможным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Отметка </w:t>
      </w:r>
      <w:r>
        <w:rPr>
          <w:sz w:val="26"/>
          <w:szCs w:val="26"/>
          <w:rtl w:val="0"/>
          <w:lang w:val="ru-RU"/>
        </w:rPr>
        <w:t xml:space="preserve">(+) </w:t>
      </w:r>
      <w:r>
        <w:rPr>
          <w:sz w:val="26"/>
          <w:szCs w:val="26"/>
          <w:rtl w:val="0"/>
          <w:lang w:val="ru-RU"/>
        </w:rPr>
        <w:t>означает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 описание признака сопровождают в методике дополнительными объяснениями 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или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иллюстрациями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По каждому признаку указан порядок его учета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indentpara"/>
        <w:ind w:left="1134" w:hanging="567"/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>MG:</w:t>
        <w:tab/>
      </w:r>
      <w:r>
        <w:rPr>
          <w:sz w:val="26"/>
          <w:szCs w:val="26"/>
          <w:rtl w:val="0"/>
          <w:lang w:val="ru-RU"/>
        </w:rPr>
        <w:t>однократное измерение группы растений или частей растений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indentpara"/>
        <w:ind w:left="1134" w:hanging="567"/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>MS:</w:t>
        <w:tab/>
      </w:r>
      <w:r>
        <w:rPr>
          <w:sz w:val="26"/>
          <w:szCs w:val="26"/>
          <w:rtl w:val="0"/>
          <w:lang w:val="ru-RU"/>
        </w:rPr>
        <w:t>измерение определенного количества отдельных растений или частей растений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indentpara"/>
        <w:ind w:left="1134" w:hanging="567"/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>VG:</w:t>
        <w:tab/>
      </w:r>
      <w:r>
        <w:rPr>
          <w:sz w:val="26"/>
          <w:szCs w:val="26"/>
          <w:rtl w:val="0"/>
          <w:lang w:val="ru-RU"/>
        </w:rPr>
        <w:t>визуальная однократная оценка группы растений или частей растений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Текст концевой сноски"/>
        <w:tabs>
          <w:tab w:val="clear" w:pos="284"/>
        </w:tabs>
        <w:ind w:left="1134" w:hanging="567"/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>VS:</w:t>
        <w:tab/>
      </w:r>
      <w:r>
        <w:rPr>
          <w:sz w:val="26"/>
          <w:szCs w:val="26"/>
          <w:rtl w:val="0"/>
          <w:lang w:val="ru-RU"/>
        </w:rPr>
        <w:t>визуальная оценка определенного количества отдельных растений или частей растений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left="709" w:firstLine="0"/>
        <w:rPr>
          <w:sz w:val="25"/>
          <w:szCs w:val="25"/>
        </w:rPr>
      </w:pP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QL </w:t>
      </w: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качественный признак</w:t>
      </w: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ind w:left="709" w:firstLine="0"/>
        <w:rPr>
          <w:sz w:val="25"/>
          <w:szCs w:val="25"/>
        </w:rPr>
      </w:pP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QN </w:t>
      </w: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количественный признак</w:t>
      </w: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ind w:left="709" w:firstLine="0"/>
        <w:rPr>
          <w:sz w:val="25"/>
          <w:szCs w:val="25"/>
        </w:rPr>
      </w:pP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PQ </w:t>
      </w: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псевдокачественный признак</w:t>
      </w: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(a)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смотри пояснения к Таблице признаков в главе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VIII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раздел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8.1.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Значениям выраженности признака присвоены индексы </w:t>
      </w:r>
      <w:r>
        <w:rPr>
          <w:sz w:val="26"/>
          <w:szCs w:val="26"/>
          <w:rtl w:val="0"/>
          <w:lang w:val="ru-RU"/>
        </w:rPr>
        <w:t xml:space="preserve">(1 - 9) </w:t>
      </w:r>
      <w:r>
        <w:rPr>
          <w:sz w:val="26"/>
          <w:szCs w:val="26"/>
          <w:rtl w:val="0"/>
          <w:lang w:val="ru-RU"/>
        </w:rPr>
        <w:t>для электронной обработки результатов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По большинству значений выраженности признаков указаны эталонные сорта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jc w:val="both"/>
        <w:rPr>
          <w:sz w:val="26"/>
          <w:szCs w:val="26"/>
        </w:rPr>
      </w:pPr>
    </w:p>
    <w:p>
      <w:pPr>
        <w:pStyle w:val="Обычный"/>
        <w:ind w:right="283"/>
        <w:jc w:val="both"/>
        <w:rPr>
          <w:sz w:val="16"/>
          <w:szCs w:val="16"/>
        </w:rPr>
      </w:pPr>
    </w:p>
    <w:p>
      <w:pPr>
        <w:pStyle w:val="Обычный"/>
        <w:ind w:right="283"/>
        <w:jc w:val="both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VII.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Таблица признаков</w:t>
      </w:r>
    </w:p>
    <w:tbl>
      <w:tblPr>
        <w:tblW w:w="9639" w:type="dxa"/>
        <w:jc w:val="left"/>
        <w:tblInd w:w="3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"/>
        <w:gridCol w:w="2835"/>
        <w:gridCol w:w="1843"/>
        <w:gridCol w:w="2977"/>
        <w:gridCol w:w="1559"/>
      </w:tblGrid>
      <w:tr>
        <w:tblPrEx>
          <w:shd w:val="clear" w:color="auto" w:fill="4f81bd"/>
        </w:tblPrEx>
        <w:trPr>
          <w:trHeight w:val="300" w:hRule="atLeast"/>
          <w:tblHeader/>
        </w:trPr>
        <w:tc>
          <w:tcPr>
            <w:tcW w:type="dxa" w:w="32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Признак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Порядок учета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Степень выраженности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Индекс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1.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Проросток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окраска гипокотиля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PQ/ VG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белый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зеленый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желтый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красноватый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длина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QN/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MS/VG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короткий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длины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длинный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положение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 /VG</w:t>
            </w:r>
            <w:r>
              <w:rPr>
                <w:spacing w:val="0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прямостоячий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полупрямосточий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лежачий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длина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QN/ 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MS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/VG</w:t>
            </w:r>
            <w:r>
              <w:rPr>
                <w:spacing w:val="0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короткая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средней длины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длинная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           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(*)</w:t>
            </w:r>
          </w:p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lang w:val="en-US"/>
              </w:rPr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ширина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QN/ 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MS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/VG</w:t>
            </w:r>
            <w:r>
              <w:rPr>
                <w:spacing w:val="0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узкая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ширины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широкая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6.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окраска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QL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/VG</w:t>
            </w:r>
            <w:r>
              <w:rPr>
                <w:spacing w:val="0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зеленая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фиолетовая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сорта с листовой пластинкой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цвет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зеленый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интенсивность зеленой окраски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 /VG</w:t>
            </w:r>
            <w:r>
              <w:rPr>
                <w:spacing w:val="0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светлая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светлая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темная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темная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8.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сорта с листовой пластинкой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цвет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зеленый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интенсивность пурпурной окраски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 /VG</w:t>
            </w:r>
            <w:r>
              <w:rPr>
                <w:spacing w:val="0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 или светлая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темная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Только сорта с листовой пластинкой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цвет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пурпурный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интенсивность пурпурной окраски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 /VG</w:t>
            </w:r>
            <w:r>
              <w:rPr>
                <w:spacing w:val="0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светлая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темная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10.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загнутость края</w:t>
            </w:r>
          </w:p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lang w:val="ru-RU"/>
              </w:rPr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 /VG</w:t>
            </w:r>
            <w:r>
              <w:rPr>
                <w:spacing w:val="0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 или очень слабая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слабая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11.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глянцевитость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 /VG</w:t>
            </w:r>
            <w:r>
              <w:rPr>
                <w:spacing w:val="0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слабая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12.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(*)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пузырчатость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 /VG</w:t>
            </w:r>
            <w:r>
              <w:rPr>
                <w:spacing w:val="0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слабая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13.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Черешок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длина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QN/ MS/VG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короткий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короткий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длины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длинный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длинный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14.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Черешок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ширина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QN/ MS/VG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узкий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узкий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ширины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широкий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широкий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744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15.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Черешок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изогнутость лицевой стороны в поперечном сечении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 /VG</w:t>
            </w:r>
            <w:r>
              <w:rPr>
                <w:spacing w:val="0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 или 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                  средняя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1239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16.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Черешок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окраска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PQ /VG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белый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зеленый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желтый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                   красный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фиолетоввый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17.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(*)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Черешок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интенсивность окраски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 /VG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светлый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средний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темный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Тенденция к скручиванию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>QN /VG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 или слабая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сильная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</w:tr>
    </w:tbl>
    <w:p>
      <w:pPr>
        <w:pStyle w:val="Обычный"/>
        <w:widowControl w:val="0"/>
        <w:ind w:left="212" w:hanging="212"/>
        <w:jc w:val="both"/>
        <w:rPr>
          <w:sz w:val="26"/>
          <w:szCs w:val="26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tabs>
          <w:tab w:val="left" w:pos="8222"/>
        </w:tabs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4"/>
          <w:szCs w:val="24"/>
          <w:rtl w:val="0"/>
          <w:lang w:val="en-US"/>
        </w:rPr>
        <w:t>VIII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Объяснения и методы проведения учетов</w:t>
      </w:r>
    </w:p>
    <w:p>
      <w:pPr>
        <w:pStyle w:val="Обычный"/>
        <w:ind w:left="708" w:firstLine="708"/>
        <w:jc w:val="both"/>
        <w:rPr>
          <w:sz w:val="26"/>
          <w:szCs w:val="26"/>
        </w:rPr>
      </w:pP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8.1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Объяснения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охватывающие несколько признаков</w:t>
      </w: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Признаки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содержащие обозначения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третьей колонке Таблицы признаков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следует наблюдать следующим образом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ind w:firstLine="708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(a)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наблюдения на листьях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листовой пластинке и черешке проводят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когда листья достигли максимальной высоты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tabs>
          <w:tab w:val="left" w:pos="8222"/>
        </w:tabs>
        <w:jc w:val="both"/>
        <w:rPr>
          <w:sz w:val="16"/>
          <w:szCs w:val="16"/>
          <w:u w:val="single"/>
        </w:rPr>
      </w:pPr>
    </w:p>
    <w:p>
      <w:pPr>
        <w:pStyle w:val="Обычный"/>
        <w:jc w:val="both"/>
        <w:rPr>
          <w:sz w:val="26"/>
          <w:szCs w:val="26"/>
        </w:rPr>
      </w:pPr>
      <w:r>
        <w:rPr>
          <w:i w:val="1"/>
          <w:iCs w:val="1"/>
          <w:outline w:val="0"/>
          <w:color w:val="000000"/>
          <w:sz w:val="25"/>
          <w:szCs w:val="25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8.2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Объяснения по отдельным  признакам</w:t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2, 4, 5, 13 </w:t>
      </w:r>
      <w:r>
        <w:rPr>
          <w:sz w:val="26"/>
          <w:szCs w:val="26"/>
          <w:u w:val="single"/>
          <w:rtl w:val="0"/>
          <w:lang w:val="ru-RU"/>
        </w:rPr>
        <w:t xml:space="preserve">и </w:t>
      </w:r>
      <w:r>
        <w:rPr>
          <w:sz w:val="26"/>
          <w:szCs w:val="26"/>
          <w:u w:val="single"/>
          <w:rtl w:val="0"/>
          <w:lang w:val="ru-RU"/>
        </w:rPr>
        <w:t xml:space="preserve">14. </w:t>
      </w:r>
      <w:r>
        <w:rPr>
          <w:sz w:val="26"/>
          <w:szCs w:val="26"/>
          <w:u w:val="single"/>
          <w:rtl w:val="0"/>
          <w:lang w:val="ru-RU"/>
        </w:rPr>
        <w:t>Лист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 xml:space="preserve">длина </w:t>
      </w:r>
      <w:r>
        <w:rPr>
          <w:sz w:val="26"/>
          <w:szCs w:val="26"/>
          <w:u w:val="single"/>
          <w:rtl w:val="0"/>
          <w:lang w:val="ru-RU"/>
        </w:rPr>
        <w:t xml:space="preserve">(2), </w:t>
      </w:r>
      <w:r>
        <w:rPr>
          <w:sz w:val="26"/>
          <w:szCs w:val="26"/>
          <w:u w:val="single"/>
          <w:rtl w:val="0"/>
          <w:lang w:val="ru-RU"/>
        </w:rPr>
        <w:t>Листовая пластинка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 xml:space="preserve">длина </w:t>
      </w:r>
      <w:r>
        <w:rPr>
          <w:sz w:val="26"/>
          <w:szCs w:val="26"/>
          <w:u w:val="single"/>
          <w:rtl w:val="0"/>
          <w:lang w:val="ru-RU"/>
        </w:rPr>
        <w:t xml:space="preserve">(4) </w:t>
      </w:r>
      <w:r>
        <w:rPr>
          <w:sz w:val="26"/>
          <w:szCs w:val="26"/>
          <w:u w:val="single"/>
          <w:rtl w:val="0"/>
          <w:lang w:val="ru-RU"/>
        </w:rPr>
        <w:t xml:space="preserve">и ширина </w:t>
      </w:r>
      <w:r>
        <w:rPr>
          <w:sz w:val="26"/>
          <w:szCs w:val="26"/>
          <w:u w:val="single"/>
          <w:rtl w:val="0"/>
          <w:lang w:val="ru-RU"/>
        </w:rPr>
        <w:t xml:space="preserve">(5), </w:t>
      </w:r>
      <w:r>
        <w:rPr>
          <w:sz w:val="26"/>
          <w:szCs w:val="26"/>
          <w:u w:val="single"/>
          <w:rtl w:val="0"/>
          <w:lang w:val="ru-RU"/>
        </w:rPr>
        <w:t>Черешок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 xml:space="preserve">длина </w:t>
      </w:r>
      <w:r>
        <w:rPr>
          <w:sz w:val="26"/>
          <w:szCs w:val="26"/>
          <w:u w:val="single"/>
          <w:rtl w:val="0"/>
          <w:lang w:val="ru-RU"/>
        </w:rPr>
        <w:t xml:space="preserve">(13) </w:t>
      </w:r>
      <w:r>
        <w:rPr>
          <w:sz w:val="26"/>
          <w:szCs w:val="26"/>
          <w:u w:val="single"/>
          <w:rtl w:val="0"/>
          <w:lang w:val="ru-RU"/>
        </w:rPr>
        <w:t xml:space="preserve">и ширина </w:t>
      </w:r>
      <w:r>
        <w:rPr>
          <w:sz w:val="26"/>
          <w:szCs w:val="26"/>
          <w:u w:val="single"/>
          <w:rtl w:val="0"/>
          <w:lang w:val="ru-RU"/>
        </w:rPr>
        <w:t>(14)</w:t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</w:p>
    <w:tbl>
      <w:tblPr>
        <w:tblW w:w="8505" w:type="dxa"/>
        <w:jc w:val="left"/>
        <w:tblInd w:w="78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01"/>
        <w:gridCol w:w="284"/>
        <w:gridCol w:w="3969"/>
        <w:gridCol w:w="283"/>
        <w:gridCol w:w="2268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7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39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07" w:hRule="atLeast"/>
        </w:trPr>
        <w:tc>
          <w:tcPr>
            <w:tcW w:type="dxa" w:w="17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Обычный"/>
              <w:ind w:right="114"/>
              <w:jc w:val="center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Обычный"/>
              <w:ind w:right="114"/>
              <w:jc w:val="center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Обычный"/>
              <w:ind w:right="114"/>
              <w:jc w:val="center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Обычный"/>
              <w:ind w:right="114"/>
              <w:jc w:val="center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Обычный"/>
              <w:ind w:right="114"/>
              <w:jc w:val="center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Обычный"/>
              <w:ind w:right="114"/>
              <w:jc w:val="center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Обычный"/>
              <w:ind w:right="114"/>
              <w:jc w:val="center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Обычный"/>
              <w:ind w:right="114"/>
              <w:jc w:val="center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Обычный"/>
              <w:ind w:right="114"/>
              <w:jc w:val="center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Обычный"/>
              <w:bidi w:val="0"/>
              <w:ind w:left="0" w:right="114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Обычный"/>
              <w:bidi w:val="0"/>
              <w:ind w:left="0" w:right="114" w:firstLine="0"/>
              <w:jc w:val="righ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  <w:p>
            <w:pPr>
              <w:pStyle w:val="Обычный"/>
              <w:ind w:right="114"/>
              <w:jc w:val="right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Обычный"/>
              <w:ind w:right="114"/>
              <w:jc w:val="right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Обычный"/>
              <w:ind w:right="114"/>
              <w:jc w:val="right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Обычный"/>
              <w:ind w:right="114"/>
              <w:jc w:val="right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Обычный"/>
              <w:ind w:right="114"/>
              <w:jc w:val="right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Обычный"/>
              <w:ind w:right="114"/>
              <w:jc w:val="right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Обычный"/>
              <w:ind w:right="114"/>
              <w:jc w:val="right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Обычный"/>
              <w:ind w:right="114"/>
              <w:jc w:val="right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Обычный"/>
              <w:bidi w:val="0"/>
              <w:ind w:left="0" w:right="114" w:firstLine="0"/>
              <w:jc w:val="righ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39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2382515" cy="4421993"/>
                  <wp:effectExtent l="0" t="0" r="0" b="0"/>
                  <wp:docPr id="1073741825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15" cy="442199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7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39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           14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</w:tr>
    </w:tbl>
    <w:p>
      <w:pPr>
        <w:pStyle w:val="Обычный"/>
        <w:widowControl w:val="0"/>
        <w:tabs>
          <w:tab w:val="left" w:pos="8222"/>
        </w:tabs>
        <w:ind w:left="675" w:hanging="675"/>
        <w:jc w:val="both"/>
        <w:rPr>
          <w:sz w:val="26"/>
          <w:szCs w:val="26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16"/>
          <w:szCs w:val="16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15. </w:t>
      </w:r>
      <w:r>
        <w:rPr>
          <w:sz w:val="26"/>
          <w:szCs w:val="26"/>
          <w:u w:val="single"/>
          <w:rtl w:val="0"/>
          <w:lang w:val="ru-RU"/>
        </w:rPr>
        <w:t>Черешок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изогнутость лицевой стороны в поперечном сечении</w:t>
      </w:r>
    </w:p>
    <w:tbl>
      <w:tblPr>
        <w:tblW w:w="8505" w:type="dxa"/>
        <w:jc w:val="left"/>
        <w:tblInd w:w="78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78"/>
        <w:gridCol w:w="499"/>
        <w:gridCol w:w="2127"/>
        <w:gridCol w:w="425"/>
        <w:gridCol w:w="2976"/>
      </w:tblGrid>
      <w:tr>
        <w:tblPrEx>
          <w:shd w:val="clear" w:color="auto" w:fill="ced7e7"/>
        </w:tblPrEx>
        <w:trPr>
          <w:trHeight w:val="2216" w:hRule="atLeast"/>
        </w:trPr>
        <w:tc>
          <w:tcPr>
            <w:tcW w:type="dxa" w:w="8505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  <w:drawing xmlns:a="http://schemas.openxmlformats.org/drawingml/2006/main">
                <wp:inline distT="0" distB="0" distL="0" distR="0">
                  <wp:extent cx="5262778" cy="1379828"/>
                  <wp:effectExtent l="0" t="0" r="0" b="0"/>
                  <wp:docPr id="1073741826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2778" cy="137982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4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1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24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отсутствует или очень слабая</w:t>
            </w:r>
          </w:p>
        </w:tc>
        <w:tc>
          <w:tcPr>
            <w:tcW w:type="dxa" w:w="4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1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средняя</w:t>
            </w:r>
          </w:p>
        </w:tc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/>
        </w:tc>
        <w:tc>
          <w:tcPr>
            <w:tcW w:type="dxa" w:w="29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4"/>
            </w:tcMar>
            <w:vAlign w:val="top"/>
          </w:tcPr>
          <w:p>
            <w:pPr>
              <w:pStyle w:val="Обычный"/>
              <w:ind w:right="114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сильная</w:t>
            </w:r>
          </w:p>
        </w:tc>
      </w:tr>
    </w:tbl>
    <w:p>
      <w:pPr>
        <w:pStyle w:val="Обычный"/>
        <w:widowControl w:val="0"/>
        <w:tabs>
          <w:tab w:val="left" w:pos="8222"/>
        </w:tabs>
        <w:ind w:left="675" w:hanging="675"/>
        <w:jc w:val="both"/>
      </w:pPr>
      <w:r>
        <w:rPr>
          <w:sz w:val="26"/>
          <w:szCs w:val="26"/>
          <w:u w:val="single"/>
        </w:rPr>
      </w:r>
    </w:p>
    <w:sectPr>
      <w:headerReference w:type="default" r:id="rId6"/>
      <w:footerReference w:type="default" r:id="rId7"/>
      <w:pgSz w:w="11900" w:h="16840" w:orient="portrait"/>
      <w:pgMar w:top="1418" w:right="992" w:bottom="1276" w:left="1134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indentpara">
    <w:name w:val="indentpara"/>
    <w:next w:val="indentpara"/>
    <w:pPr>
      <w:keepNext w:val="0"/>
      <w:keepLines w:val="0"/>
      <w:pageBreakBefore w:val="0"/>
      <w:widowControl w:val="1"/>
      <w:shd w:val="clear" w:color="auto" w:fill="auto"/>
      <w:tabs>
        <w:tab w:val="left" w:pos="720"/>
        <w:tab w:val="left" w:pos="1134"/>
      </w:tabs>
      <w:suppressAutoHyphens w:val="0"/>
      <w:bidi w:val="0"/>
      <w:spacing w:before="0" w:after="0" w:line="240" w:lineRule="auto"/>
      <w:ind w:left="414" w:right="0" w:hanging="414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Текст концевой сноски">
    <w:name w:val="Текст концевой сноски"/>
    <w:next w:val="Текст концевой сноски"/>
    <w:pPr>
      <w:keepNext w:val="0"/>
      <w:keepLines w:val="0"/>
      <w:pageBreakBefore w:val="0"/>
      <w:widowControl w:val="1"/>
      <w:shd w:val="clear" w:color="auto" w:fill="auto"/>
      <w:tabs>
        <w:tab w:val="left" w:pos="28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